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CE" w:rsidRPr="008F43CE" w:rsidRDefault="008F43CE" w:rsidP="008F43CE">
      <w:pPr>
        <w:pStyle w:val="Funotentext"/>
        <w:rPr>
          <w:rFonts w:asciiTheme="majorHAnsi" w:hAnsiTheme="majorHAnsi"/>
          <w:b/>
          <w:sz w:val="20"/>
          <w:szCs w:val="20"/>
        </w:rPr>
      </w:pPr>
      <w:r w:rsidRPr="008F43CE">
        <w:rPr>
          <w:rFonts w:asciiTheme="majorHAnsi" w:hAnsiTheme="majorHAnsi"/>
          <w:b/>
          <w:sz w:val="20"/>
          <w:szCs w:val="20"/>
        </w:rPr>
        <w:t>Räume der Stille in der öffentlichen Schule – eine Erkundungsreise</w:t>
      </w:r>
    </w:p>
    <w:p w:rsidR="008F43CE" w:rsidRPr="008F43CE" w:rsidRDefault="008F43CE" w:rsidP="008F43CE">
      <w:pPr>
        <w:pStyle w:val="Funotentext"/>
        <w:rPr>
          <w:rFonts w:asciiTheme="majorHAnsi" w:hAnsiTheme="majorHAnsi"/>
          <w:b/>
          <w:sz w:val="20"/>
          <w:szCs w:val="20"/>
        </w:rPr>
      </w:pPr>
      <w:r w:rsidRPr="008F43CE">
        <w:rPr>
          <w:rFonts w:asciiTheme="majorHAnsi" w:hAnsiTheme="majorHAnsi"/>
          <w:b/>
          <w:sz w:val="20"/>
          <w:szCs w:val="20"/>
        </w:rPr>
        <w:t>Kann es in der öffentlichen Schule einen Raum der Stille geben, der Stille nicht nur als Abwesenheit von Lärm definiert, sondern der in der Stille ein die Religionen verbindendes Element erkennt?</w:t>
      </w:r>
    </w:p>
    <w:p w:rsidR="008F43CE" w:rsidRPr="007C57E0" w:rsidRDefault="008F43CE" w:rsidP="008F43CE">
      <w:pPr>
        <w:pStyle w:val="Funotentext"/>
        <w:rPr>
          <w:rFonts w:asciiTheme="majorHAnsi" w:hAnsiTheme="majorHAnsi"/>
          <w:sz w:val="20"/>
          <w:szCs w:val="20"/>
        </w:rPr>
      </w:pPr>
      <w:r w:rsidRPr="008F43CE">
        <w:rPr>
          <w:rFonts w:asciiTheme="majorHAnsi" w:hAnsiTheme="majorHAnsi"/>
          <w:sz w:val="20"/>
          <w:szCs w:val="20"/>
        </w:rPr>
        <w:t>Von Christine Weg-Engelschalk</w:t>
      </w:r>
      <w:r>
        <w:rPr>
          <w:rFonts w:asciiTheme="majorHAnsi" w:hAnsiTheme="majorHAnsi"/>
          <w:sz w:val="20"/>
          <w:szCs w:val="20"/>
        </w:rPr>
        <w:br/>
      </w:r>
      <w:r>
        <w:rPr>
          <w:rFonts w:asciiTheme="majorHAnsi" w:hAnsiTheme="majorHAnsi"/>
          <w:sz w:val="20"/>
          <w:szCs w:val="20"/>
        </w:rPr>
        <w:br/>
      </w:r>
      <w:r w:rsidRPr="008F43CE">
        <w:rPr>
          <w:rFonts w:asciiTheme="majorHAnsi" w:hAnsiTheme="majorHAnsi"/>
          <w:b/>
          <w:sz w:val="20"/>
          <w:szCs w:val="20"/>
        </w:rPr>
        <w:t xml:space="preserve">Literaturhinweise </w:t>
      </w:r>
      <w:r>
        <w:rPr>
          <w:rFonts w:asciiTheme="majorHAnsi" w:hAnsiTheme="majorHAnsi"/>
          <w:sz w:val="20"/>
          <w:szCs w:val="20"/>
        </w:rPr>
        <w:br/>
      </w:r>
      <w:r>
        <w:rPr>
          <w:rFonts w:asciiTheme="majorHAnsi" w:hAnsiTheme="majorHAnsi"/>
          <w:sz w:val="20"/>
          <w:szCs w:val="20"/>
        </w:rPr>
        <w:br/>
      </w:r>
      <w:r>
        <w:rPr>
          <w:rFonts w:asciiTheme="majorHAnsi" w:hAnsiTheme="majorHAnsi"/>
          <w:sz w:val="20"/>
          <w:szCs w:val="20"/>
        </w:rPr>
        <w:br/>
      </w:r>
      <w:r w:rsidRPr="007C57E0">
        <w:rPr>
          <w:rFonts w:asciiTheme="majorHAnsi" w:hAnsiTheme="majorHAnsi"/>
          <w:sz w:val="20"/>
          <w:szCs w:val="20"/>
        </w:rPr>
        <w:t>Wesentliche Impulse für diesen Text gehen zurück auf ein Referat zum Thema „Räume der Stille“ von Prof. Dr. Alexander-Kenneth Nagel (Uni Göttingen, Sozialwissenschaftl</w:t>
      </w:r>
      <w:bookmarkStart w:id="0" w:name="_GoBack"/>
      <w:bookmarkEnd w:id="0"/>
      <w:r w:rsidRPr="007C57E0">
        <w:rPr>
          <w:rFonts w:asciiTheme="majorHAnsi" w:hAnsiTheme="majorHAnsi"/>
          <w:sz w:val="20"/>
          <w:szCs w:val="20"/>
        </w:rPr>
        <w:t>iche Religionsforschung) im Rahmen eines Fortbildungstages des RPI Gießen zum gleichen Thema,</w:t>
      </w:r>
      <w:r>
        <w:rPr>
          <w:rFonts w:asciiTheme="majorHAnsi" w:hAnsiTheme="majorHAnsi"/>
          <w:sz w:val="20"/>
          <w:szCs w:val="20"/>
        </w:rPr>
        <w:br/>
      </w:r>
    </w:p>
    <w:p w:rsidR="008F43CE" w:rsidRPr="007C57E0" w:rsidRDefault="008F43CE" w:rsidP="008F43CE">
      <w:pPr>
        <w:pStyle w:val="Funotentext"/>
        <w:rPr>
          <w:rFonts w:asciiTheme="majorHAnsi" w:hAnsiTheme="majorHAnsi" w:cs="Arial"/>
          <w:sz w:val="20"/>
          <w:szCs w:val="20"/>
        </w:rPr>
      </w:pPr>
      <w:r w:rsidRPr="007C57E0">
        <w:rPr>
          <w:rFonts w:asciiTheme="majorHAnsi" w:hAnsiTheme="majorHAnsi"/>
          <w:sz w:val="20"/>
          <w:szCs w:val="20"/>
        </w:rPr>
        <w:t xml:space="preserve">vgl. auch: </w:t>
      </w:r>
      <w:proofErr w:type="spellStart"/>
      <w:r w:rsidRPr="007C57E0">
        <w:rPr>
          <w:rFonts w:asciiTheme="majorHAnsi" w:hAnsiTheme="majorHAnsi"/>
          <w:sz w:val="20"/>
          <w:szCs w:val="20"/>
        </w:rPr>
        <w:t>Ders</w:t>
      </w:r>
      <w:proofErr w:type="spellEnd"/>
      <w:r w:rsidRPr="007C57E0">
        <w:rPr>
          <w:rFonts w:asciiTheme="majorHAnsi" w:hAnsiTheme="majorHAnsi"/>
          <w:sz w:val="20"/>
          <w:szCs w:val="20"/>
        </w:rPr>
        <w:t>., Kontaktzone oder Spannungsfeld? Multireligiöse Orte in religionssoziologischer Perspektive, in: Beinhauer-Köhler, Bärbel /Roth, Mirko/ u.a. (</w:t>
      </w:r>
      <w:proofErr w:type="spellStart"/>
      <w:r w:rsidRPr="007C57E0">
        <w:rPr>
          <w:rFonts w:asciiTheme="majorHAnsi" w:hAnsiTheme="majorHAnsi"/>
          <w:sz w:val="20"/>
          <w:szCs w:val="20"/>
        </w:rPr>
        <w:t>Hg</w:t>
      </w:r>
      <w:proofErr w:type="spellEnd"/>
      <w:r w:rsidRPr="007C57E0">
        <w:rPr>
          <w:rFonts w:asciiTheme="majorHAnsi" w:hAnsiTheme="majorHAnsi"/>
          <w:sz w:val="20"/>
          <w:szCs w:val="20"/>
        </w:rPr>
        <w:t xml:space="preserve">.): Viele Religionen ein Raum?! Analysen, Diskussionen und Konzepte. Berlin: Frank und </w:t>
      </w:r>
      <w:proofErr w:type="spellStart"/>
      <w:r w:rsidRPr="007C57E0">
        <w:rPr>
          <w:rFonts w:asciiTheme="majorHAnsi" w:hAnsiTheme="majorHAnsi"/>
          <w:sz w:val="20"/>
          <w:szCs w:val="20"/>
        </w:rPr>
        <w:t>Timme</w:t>
      </w:r>
      <w:proofErr w:type="spellEnd"/>
      <w:r w:rsidRPr="007C57E0">
        <w:rPr>
          <w:rFonts w:asciiTheme="majorHAnsi" w:hAnsiTheme="majorHAnsi"/>
          <w:sz w:val="20"/>
          <w:szCs w:val="20"/>
        </w:rPr>
        <w:t xml:space="preserve"> Verlag, 2015, Seite 35-54.</w:t>
      </w:r>
      <w:r>
        <w:rPr>
          <w:rFonts w:asciiTheme="majorHAnsi" w:hAnsiTheme="majorHAnsi"/>
          <w:sz w:val="20"/>
          <w:szCs w:val="20"/>
        </w:rPr>
        <w:br/>
      </w:r>
      <w:r>
        <w:rPr>
          <w:rFonts w:asciiTheme="majorHAnsi" w:hAnsiTheme="majorHAnsi"/>
          <w:sz w:val="20"/>
          <w:szCs w:val="20"/>
        </w:rPr>
        <w:br/>
      </w:r>
      <w:r>
        <w:rPr>
          <w:rFonts w:asciiTheme="majorHAnsi" w:hAnsiTheme="majorHAnsi" w:cs="Arial"/>
          <w:sz w:val="20"/>
          <w:szCs w:val="20"/>
        </w:rPr>
        <w:t>Gäbe es (</w:t>
      </w:r>
      <w:proofErr w:type="spellStart"/>
      <w:r>
        <w:rPr>
          <w:rFonts w:asciiTheme="majorHAnsi" w:hAnsiTheme="majorHAnsi" w:cs="Arial"/>
          <w:sz w:val="20"/>
          <w:szCs w:val="20"/>
        </w:rPr>
        <w:t>Religons</w:t>
      </w:r>
      <w:proofErr w:type="spellEnd"/>
      <w:r>
        <w:rPr>
          <w:rFonts w:asciiTheme="majorHAnsi" w:hAnsiTheme="majorHAnsi" w:cs="Arial"/>
          <w:sz w:val="20"/>
          <w:szCs w:val="20"/>
        </w:rPr>
        <w:t>-)L</w:t>
      </w:r>
      <w:r w:rsidRPr="007C57E0">
        <w:rPr>
          <w:rFonts w:asciiTheme="majorHAnsi" w:hAnsiTheme="majorHAnsi" w:cs="Arial"/>
          <w:sz w:val="20"/>
          <w:szCs w:val="20"/>
        </w:rPr>
        <w:t>ehrkräfte anderer Religionen oder Konfessionslose, die an der Trägerschaft des Raumes beteiligt wären, fielen die Ergebnisse anders aus.</w:t>
      </w:r>
      <w:r>
        <w:rPr>
          <w:rFonts w:asciiTheme="majorHAnsi" w:hAnsiTheme="majorHAnsi" w:cs="Arial"/>
          <w:sz w:val="20"/>
          <w:szCs w:val="20"/>
        </w:rPr>
        <w:br/>
      </w:r>
    </w:p>
    <w:p w:rsidR="008F43CE" w:rsidRPr="007B493A" w:rsidRDefault="008F43CE" w:rsidP="008F43CE">
      <w:pPr>
        <w:pStyle w:val="Funotentext"/>
        <w:rPr>
          <w:rFonts w:ascii="Arial" w:hAnsi="Arial"/>
          <w:sz w:val="20"/>
          <w:szCs w:val="20"/>
        </w:rPr>
      </w:pPr>
      <w:r>
        <w:rPr>
          <w:rFonts w:asciiTheme="majorHAnsi" w:hAnsiTheme="majorHAnsi"/>
          <w:sz w:val="20"/>
          <w:szCs w:val="20"/>
        </w:rPr>
        <w:t>V</w:t>
      </w:r>
      <w:r w:rsidRPr="007C57E0">
        <w:rPr>
          <w:rFonts w:asciiTheme="majorHAnsi" w:hAnsiTheme="majorHAnsi"/>
          <w:sz w:val="20"/>
          <w:szCs w:val="20"/>
        </w:rPr>
        <w:t xml:space="preserve">gl. </w:t>
      </w:r>
      <w:r>
        <w:rPr>
          <w:rFonts w:asciiTheme="majorHAnsi" w:hAnsiTheme="majorHAnsi"/>
          <w:sz w:val="20"/>
          <w:szCs w:val="20"/>
        </w:rPr>
        <w:t xml:space="preserve">auch </w:t>
      </w:r>
      <w:r w:rsidRPr="007C57E0">
        <w:rPr>
          <w:rFonts w:asciiTheme="majorHAnsi" w:hAnsiTheme="majorHAnsi"/>
          <w:sz w:val="20"/>
          <w:szCs w:val="20"/>
        </w:rPr>
        <w:t xml:space="preserve">Prof. Dr. H. </w:t>
      </w:r>
      <w:r>
        <w:rPr>
          <w:rFonts w:asciiTheme="majorHAnsi" w:hAnsiTheme="majorHAnsi"/>
          <w:sz w:val="20"/>
          <w:szCs w:val="20"/>
        </w:rPr>
        <w:t>Michael Heinig</w:t>
      </w:r>
      <w:r w:rsidRPr="007C57E0">
        <w:rPr>
          <w:rFonts w:asciiTheme="majorHAnsi" w:hAnsiTheme="majorHAnsi"/>
          <w:sz w:val="20"/>
          <w:szCs w:val="20"/>
        </w:rPr>
        <w:t xml:space="preserve">: Religionsfreiheit oder Neutralitätsgebot. </w:t>
      </w:r>
      <w:hyperlink r:id="rId4" w:history="1">
        <w:r w:rsidRPr="007C57E0">
          <w:rPr>
            <w:rStyle w:val="Hyperlink"/>
            <w:rFonts w:asciiTheme="majorHAnsi" w:hAnsiTheme="majorHAnsi" w:cs="Arial"/>
            <w:sz w:val="20"/>
            <w:szCs w:val="20"/>
          </w:rPr>
          <w:t>http://www.bpb.de/politik/innenpolitik/konfliktstoff-kopftuch/63259/einstieg-in-die-debatte</w:t>
        </w:r>
      </w:hyperlink>
      <w:r w:rsidRPr="007C57E0">
        <w:rPr>
          <w:rFonts w:asciiTheme="majorHAnsi" w:hAnsiTheme="majorHAnsi" w:cs="Arial"/>
          <w:sz w:val="20"/>
          <w:szCs w:val="20"/>
        </w:rPr>
        <w:t>. Aufgerufen am 26.09.2017.</w:t>
      </w:r>
    </w:p>
    <w:p w:rsidR="007477F6" w:rsidRDefault="008F43CE" w:rsidP="008F43CE">
      <w:r>
        <w:rPr>
          <w:rFonts w:asciiTheme="majorHAnsi" w:hAnsiTheme="majorHAnsi"/>
          <w:sz w:val="20"/>
          <w:szCs w:val="20"/>
        </w:rPr>
        <w:br/>
      </w:r>
      <w:r w:rsidRPr="007C57E0">
        <w:rPr>
          <w:rFonts w:asciiTheme="majorHAnsi" w:hAnsiTheme="majorHAnsi"/>
          <w:sz w:val="20"/>
          <w:szCs w:val="20"/>
        </w:rPr>
        <w:t>Weitere wichtige Einsichten und Erkenntnisse verdanke ich Prof. Dr. Thomas Erne (Uni Marburg, Praktische Theologie und Direktor des Instituts für Kirchenbau und kirchliche Kunst der Gegenwart), der meine Erkundungsreise inhaltlich begleitete.</w:t>
      </w:r>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CE"/>
    <w:rsid w:val="004E3056"/>
    <w:rsid w:val="007477F6"/>
    <w:rsid w:val="008A748C"/>
    <w:rsid w:val="008F43CE"/>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490"/>
  <w15:chartTrackingRefBased/>
  <w15:docId w15:val="{3D92DE0A-2C59-4313-A651-8C0A6516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43CE"/>
    <w:pPr>
      <w:spacing w:after="0" w:line="240" w:lineRule="auto"/>
    </w:pPr>
    <w:rPr>
      <w:rFonts w:eastAsiaTheme="minorEastAsia"/>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F43CE"/>
  </w:style>
  <w:style w:type="character" w:customStyle="1" w:styleId="FunotentextZchn">
    <w:name w:val="Fußnotentext Zchn"/>
    <w:basedOn w:val="Absatz-Standardschriftart"/>
    <w:link w:val="Funotentext"/>
    <w:uiPriority w:val="99"/>
    <w:rsid w:val="008F43CE"/>
    <w:rPr>
      <w:rFonts w:eastAsiaTheme="minorEastAsia"/>
      <w:sz w:val="24"/>
      <w:szCs w:val="24"/>
      <w:lang w:eastAsia="de-DE"/>
    </w:rPr>
  </w:style>
  <w:style w:type="character" w:styleId="Funotenzeichen">
    <w:name w:val="footnote reference"/>
    <w:basedOn w:val="Absatz-Standardschriftart"/>
    <w:uiPriority w:val="99"/>
    <w:unhideWhenUsed/>
    <w:rsid w:val="008F43CE"/>
    <w:rPr>
      <w:vertAlign w:val="superscript"/>
    </w:rPr>
  </w:style>
  <w:style w:type="character" w:styleId="Hyperlink">
    <w:name w:val="Hyperlink"/>
    <w:basedOn w:val="Absatz-Standardschriftart"/>
    <w:uiPriority w:val="99"/>
    <w:unhideWhenUsed/>
    <w:rsid w:val="008F4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b.de/politik/innenpolitik/konfliktstoff-kopftuch/63259/einstieg-in-die-debat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2017-10-22T20:56:00Z</dcterms:created>
  <dcterms:modified xsi:type="dcterms:W3CDTF">2017-10-22T20:58:00Z</dcterms:modified>
</cp:coreProperties>
</file>