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B56D36" w14:textId="77777777" w:rsidR="00DC2C19" w:rsidRPr="007538FC" w:rsidRDefault="00DC2C19" w:rsidP="00DC2C19">
      <w:pPr>
        <w:pStyle w:val="berschrift11"/>
        <w:suppressAutoHyphens/>
        <w:spacing w:before="120" w:after="120"/>
        <w:rPr>
          <w:rFonts w:asciiTheme="majorHAnsi" w:hAnsiTheme="majorHAnsi"/>
        </w:rPr>
      </w:pPr>
      <w:r w:rsidRPr="007538FC">
        <w:rPr>
          <w:rFonts w:asciiTheme="majorHAnsi" w:hAnsiTheme="majorHAnsi"/>
        </w:rPr>
        <w:t>Informationsblatt für Lehrerinnen und Lehrer</w:t>
      </w:r>
    </w:p>
    <w:p w14:paraId="042B7302" w14:textId="77777777" w:rsidR="00DC2C19" w:rsidRPr="007538FC" w:rsidRDefault="00DC2C19" w:rsidP="00DC2C19">
      <w:pPr>
        <w:rPr>
          <w:rFonts w:asciiTheme="majorHAnsi" w:eastAsia="Arial" w:hAnsiTheme="majorHAnsi" w:cs="Arial"/>
        </w:rPr>
      </w:pPr>
    </w:p>
    <w:p w14:paraId="11E7C4A8" w14:textId="77777777" w:rsidR="00DC2C19" w:rsidRPr="007538FC" w:rsidRDefault="00DC2C19" w:rsidP="00DC2C19">
      <w:pPr>
        <w:pStyle w:val="Listenabsatz"/>
        <w:numPr>
          <w:ilvl w:val="0"/>
          <w:numId w:val="1"/>
        </w:numPr>
        <w:spacing w:after="120"/>
        <w:rPr>
          <w:rFonts w:asciiTheme="majorHAnsi" w:eastAsia="Arial" w:hAnsiTheme="majorHAnsi" w:cs="Arial"/>
          <w:sz w:val="28"/>
          <w:szCs w:val="28"/>
        </w:rPr>
      </w:pPr>
      <w:r w:rsidRPr="007538FC">
        <w:rPr>
          <w:rFonts w:asciiTheme="majorHAnsi" w:hAnsiTheme="majorHAnsi"/>
          <w:b/>
          <w:bCs/>
          <w:sz w:val="28"/>
          <w:szCs w:val="28"/>
        </w:rPr>
        <w:t>Hintergrundwissen: Einvernehmen (</w:t>
      </w:r>
      <w:proofErr w:type="spellStart"/>
      <w:r w:rsidRPr="007538FC">
        <w:rPr>
          <w:rFonts w:asciiTheme="majorHAnsi" w:hAnsiTheme="majorHAnsi"/>
          <w:b/>
          <w:bCs/>
          <w:sz w:val="28"/>
          <w:szCs w:val="28"/>
        </w:rPr>
        <w:t>rizalik</w:t>
      </w:r>
      <w:proofErr w:type="spellEnd"/>
      <w:r w:rsidRPr="007538FC">
        <w:rPr>
          <w:rFonts w:asciiTheme="majorHAnsi" w:hAnsiTheme="majorHAnsi"/>
          <w:b/>
          <w:bCs/>
          <w:sz w:val="28"/>
          <w:szCs w:val="28"/>
        </w:rPr>
        <w:t>)</w:t>
      </w:r>
    </w:p>
    <w:p w14:paraId="03702BF7" w14:textId="77777777" w:rsidR="00DC2C19" w:rsidRPr="007538FC" w:rsidRDefault="00DC2C19" w:rsidP="00DC2C19">
      <w:pPr>
        <w:spacing w:after="120"/>
        <w:jc w:val="both"/>
        <w:rPr>
          <w:rFonts w:asciiTheme="majorHAnsi" w:eastAsia="Arial" w:hAnsiTheme="majorHAnsi" w:cs="Arial"/>
          <w:sz w:val="22"/>
          <w:szCs w:val="22"/>
        </w:rPr>
      </w:pPr>
      <w:r w:rsidRPr="007538FC">
        <w:rPr>
          <w:rFonts w:asciiTheme="majorHAnsi" w:hAnsiTheme="majorHAnsi"/>
          <w:sz w:val="22"/>
          <w:szCs w:val="22"/>
        </w:rPr>
        <w:t xml:space="preserve">Im </w:t>
      </w:r>
      <w:proofErr w:type="spellStart"/>
      <w:r w:rsidRPr="007538FC">
        <w:rPr>
          <w:rFonts w:asciiTheme="majorHAnsi" w:hAnsiTheme="majorHAnsi"/>
          <w:sz w:val="22"/>
          <w:szCs w:val="22"/>
        </w:rPr>
        <w:t>Alevitentum</w:t>
      </w:r>
      <w:proofErr w:type="spellEnd"/>
      <w:r w:rsidRPr="007538FC">
        <w:rPr>
          <w:rFonts w:asciiTheme="majorHAnsi" w:hAnsiTheme="majorHAnsi"/>
          <w:sz w:val="22"/>
          <w:szCs w:val="22"/>
        </w:rPr>
        <w:t xml:space="preserve"> hat der Begriff Einvernehmen eine zentrale Bedeutung. Das bedeutet so viel wie Zufriedensein, Einverständnis und Zustimmung. Wenn </w:t>
      </w:r>
      <w:proofErr w:type="spellStart"/>
      <w:r w:rsidRPr="007538FC">
        <w:rPr>
          <w:rFonts w:asciiTheme="majorHAnsi" w:hAnsiTheme="majorHAnsi"/>
          <w:sz w:val="22"/>
          <w:szCs w:val="22"/>
        </w:rPr>
        <w:t>Aleviten</w:t>
      </w:r>
      <w:proofErr w:type="spellEnd"/>
      <w:r w:rsidRPr="007538FC">
        <w:rPr>
          <w:rFonts w:asciiTheme="majorHAnsi" w:hAnsiTheme="majorHAnsi"/>
          <w:sz w:val="22"/>
          <w:szCs w:val="22"/>
        </w:rPr>
        <w:t xml:space="preserve"> zusammenkommen, fragt der Geistliche, ob alle miteinander einverstanden sind. So haben alle Gelegenheit, zu Wort zu kommen, wenn sind sie gekränkt sind oder sich von einer Person un</w:t>
      </w:r>
      <w:bookmarkStart w:id="0" w:name="_GoBack"/>
      <w:bookmarkEnd w:id="0"/>
      <w:r w:rsidRPr="007538FC">
        <w:rPr>
          <w:rFonts w:asciiTheme="majorHAnsi" w:hAnsiTheme="majorHAnsi"/>
          <w:sz w:val="22"/>
          <w:szCs w:val="22"/>
        </w:rPr>
        <w:t>gerecht behandelt fühlen.</w:t>
      </w:r>
    </w:p>
    <w:p w14:paraId="0153486C" w14:textId="77777777" w:rsidR="00DC2C19" w:rsidRPr="007538FC" w:rsidRDefault="00DC2C19" w:rsidP="00DC2C19">
      <w:pPr>
        <w:spacing w:after="120"/>
        <w:jc w:val="both"/>
        <w:rPr>
          <w:rFonts w:asciiTheme="majorHAnsi" w:eastAsia="Arial" w:hAnsiTheme="majorHAnsi" w:cs="Arial"/>
          <w:sz w:val="22"/>
          <w:szCs w:val="22"/>
        </w:rPr>
      </w:pPr>
      <w:r w:rsidRPr="007538FC">
        <w:rPr>
          <w:rFonts w:asciiTheme="majorHAnsi" w:hAnsiTheme="majorHAnsi"/>
          <w:sz w:val="22"/>
          <w:szCs w:val="22"/>
        </w:rPr>
        <w:t>Nach dem Buch „</w:t>
      </w:r>
      <w:proofErr w:type="spellStart"/>
      <w:r w:rsidRPr="007538FC">
        <w:rPr>
          <w:rFonts w:asciiTheme="majorHAnsi" w:hAnsiTheme="majorHAnsi"/>
          <w:sz w:val="22"/>
          <w:szCs w:val="22"/>
        </w:rPr>
        <w:t>Buyruk</w:t>
      </w:r>
      <w:proofErr w:type="spellEnd"/>
      <w:r w:rsidRPr="007538FC">
        <w:rPr>
          <w:rFonts w:asciiTheme="majorHAnsi" w:hAnsiTheme="majorHAnsi"/>
          <w:sz w:val="22"/>
          <w:szCs w:val="22"/>
        </w:rPr>
        <w:t>“ (Gebot) gibt es drei Aspekte von Einvernehmen:</w:t>
      </w:r>
    </w:p>
    <w:p w14:paraId="730E18B8" w14:textId="77777777" w:rsidR="00DC2C19" w:rsidRPr="007538FC" w:rsidRDefault="00DC2C19" w:rsidP="00DC2C19">
      <w:pPr>
        <w:numPr>
          <w:ilvl w:val="0"/>
          <w:numId w:val="2"/>
        </w:numPr>
        <w:spacing w:after="200" w:line="276" w:lineRule="auto"/>
        <w:jc w:val="both"/>
        <w:rPr>
          <w:rFonts w:asciiTheme="majorHAnsi" w:eastAsia="Arial" w:hAnsiTheme="majorHAnsi" w:cs="Arial"/>
          <w:sz w:val="22"/>
          <w:szCs w:val="22"/>
        </w:rPr>
      </w:pPr>
      <w:r w:rsidRPr="007538FC">
        <w:rPr>
          <w:rFonts w:asciiTheme="majorHAnsi" w:hAnsiTheme="majorHAnsi"/>
          <w:sz w:val="22"/>
          <w:szCs w:val="22"/>
        </w:rPr>
        <w:t>Die erste Art ist der Einklang mit sich selbst. Das bedeutet, dass man sich prüft und beurteilt. Man hinterfragt sein Handeln und versucht seine eigenen Fehler zu erkennen. Die Entscheidung liegt bei einem selbst.</w:t>
      </w:r>
    </w:p>
    <w:p w14:paraId="7ED7419A" w14:textId="77777777" w:rsidR="00DC2C19" w:rsidRPr="007538FC" w:rsidRDefault="00DC2C19" w:rsidP="00DC2C19">
      <w:pPr>
        <w:numPr>
          <w:ilvl w:val="0"/>
          <w:numId w:val="2"/>
        </w:numPr>
        <w:spacing w:after="200" w:line="276" w:lineRule="auto"/>
        <w:jc w:val="both"/>
        <w:rPr>
          <w:rFonts w:asciiTheme="majorHAnsi" w:eastAsia="Arial" w:hAnsiTheme="majorHAnsi" w:cs="Arial"/>
          <w:sz w:val="22"/>
          <w:szCs w:val="22"/>
        </w:rPr>
      </w:pPr>
      <w:r w:rsidRPr="007538FC">
        <w:rPr>
          <w:rFonts w:asciiTheme="majorHAnsi" w:hAnsiTheme="majorHAnsi"/>
          <w:sz w:val="22"/>
          <w:szCs w:val="22"/>
        </w:rPr>
        <w:t xml:space="preserve">Die zweite Art ist die Harmonie der Person in der Gemeinde. Hierzu gehört, dass man sich an die wichtigen Geboten des </w:t>
      </w:r>
      <w:proofErr w:type="spellStart"/>
      <w:r w:rsidRPr="007538FC">
        <w:rPr>
          <w:rFonts w:asciiTheme="majorHAnsi" w:hAnsiTheme="majorHAnsi"/>
          <w:sz w:val="22"/>
          <w:szCs w:val="22"/>
        </w:rPr>
        <w:t>Alevitentums</w:t>
      </w:r>
      <w:proofErr w:type="spellEnd"/>
      <w:r w:rsidRPr="007538FC">
        <w:rPr>
          <w:rFonts w:asciiTheme="majorHAnsi" w:hAnsiTheme="majorHAnsi"/>
          <w:sz w:val="22"/>
          <w:szCs w:val="22"/>
        </w:rPr>
        <w:t xml:space="preserve"> hält. Diese sind zum Beispiel nicht zu stehlen, nicht zu lügen, keine Gewalt anzuwenden sowie in der Partnerschaft treu zu sein. Wer dagegen verstößt, kann kein Mitglied der Gemeinde sein.</w:t>
      </w:r>
    </w:p>
    <w:p w14:paraId="22FCB8F1" w14:textId="77777777" w:rsidR="00DC2C19" w:rsidRPr="007538FC" w:rsidRDefault="00DC2C19" w:rsidP="00DC2C19">
      <w:pPr>
        <w:numPr>
          <w:ilvl w:val="0"/>
          <w:numId w:val="2"/>
        </w:numPr>
        <w:spacing w:line="276" w:lineRule="auto"/>
        <w:jc w:val="both"/>
        <w:rPr>
          <w:rFonts w:asciiTheme="majorHAnsi" w:eastAsia="Arial" w:hAnsiTheme="majorHAnsi" w:cs="Arial"/>
          <w:sz w:val="22"/>
          <w:szCs w:val="22"/>
        </w:rPr>
      </w:pPr>
      <w:r w:rsidRPr="007538FC">
        <w:rPr>
          <w:rFonts w:asciiTheme="majorHAnsi" w:hAnsiTheme="majorHAnsi"/>
          <w:sz w:val="22"/>
          <w:szCs w:val="22"/>
        </w:rPr>
        <w:t>Die dritte Art ist die Bereitschaft, sich auf den mystischen Weg zu begeben. Man tritt freiwillig und auf eigenen Wunsch in die Gemeinde ein. Hierzu gehört auch, dass man eine Vertrauensbasis untereinander findet. Ein harmonischer Zusammenhalt in der Gemeinde fördert die Zufriedenheit des Einzelnen mit sich selbst, sodass einer dem anderen die Hand reichen kann, wobei Gott im Zentrum steht.</w:t>
      </w:r>
    </w:p>
    <w:p w14:paraId="544FC31A" w14:textId="77777777" w:rsidR="00DC2C19" w:rsidRPr="007538FC" w:rsidRDefault="00DC2C19" w:rsidP="00DC2C19">
      <w:pPr>
        <w:pStyle w:val="Fuzeile1"/>
        <w:tabs>
          <w:tab w:val="right" w:pos="9046"/>
        </w:tabs>
        <w:jc w:val="right"/>
        <w:rPr>
          <w:rFonts w:asciiTheme="majorHAnsi" w:eastAsia="Arial" w:hAnsiTheme="majorHAnsi" w:cs="Arial"/>
          <w:i/>
          <w:iCs/>
          <w:sz w:val="20"/>
          <w:szCs w:val="20"/>
        </w:rPr>
      </w:pPr>
      <w:r w:rsidRPr="007538FC">
        <w:rPr>
          <w:rFonts w:asciiTheme="majorHAnsi" w:hAnsiTheme="majorHAnsi"/>
          <w:i/>
          <w:iCs/>
          <w:sz w:val="20"/>
          <w:szCs w:val="20"/>
        </w:rPr>
        <w:t xml:space="preserve">(Quelle: Bozkurt / Kaplan) </w:t>
      </w:r>
    </w:p>
    <w:p w14:paraId="12FC9636" w14:textId="77777777" w:rsidR="00DC2C19" w:rsidRPr="007538FC" w:rsidRDefault="00DC2C19" w:rsidP="00DC2C19">
      <w:pPr>
        <w:ind w:left="360"/>
        <w:jc w:val="right"/>
        <w:rPr>
          <w:rFonts w:asciiTheme="majorHAnsi" w:eastAsia="Arial" w:hAnsiTheme="majorHAnsi" w:cs="Arial"/>
          <w:sz w:val="18"/>
          <w:szCs w:val="18"/>
        </w:rPr>
      </w:pPr>
    </w:p>
    <w:p w14:paraId="7F1B6051" w14:textId="77777777" w:rsidR="00DC2C19" w:rsidRPr="007538FC" w:rsidRDefault="00DC2C19" w:rsidP="00DC2C19">
      <w:pPr>
        <w:ind w:left="360"/>
        <w:jc w:val="right"/>
        <w:rPr>
          <w:rFonts w:asciiTheme="majorHAnsi" w:eastAsia="Arial" w:hAnsiTheme="majorHAnsi" w:cs="Arial"/>
          <w:sz w:val="18"/>
          <w:szCs w:val="18"/>
        </w:rPr>
      </w:pPr>
    </w:p>
    <w:p w14:paraId="584B074C" w14:textId="77777777" w:rsidR="00DC2C19" w:rsidRPr="007538FC" w:rsidRDefault="00DC2C19" w:rsidP="00DC2C19">
      <w:pPr>
        <w:pStyle w:val="Listenabsatz"/>
        <w:numPr>
          <w:ilvl w:val="0"/>
          <w:numId w:val="3"/>
        </w:numPr>
        <w:spacing w:after="120"/>
        <w:rPr>
          <w:rFonts w:asciiTheme="majorHAnsi" w:eastAsia="Arial" w:hAnsiTheme="majorHAnsi" w:cs="Arial"/>
          <w:sz w:val="28"/>
          <w:szCs w:val="28"/>
        </w:rPr>
      </w:pPr>
      <w:r w:rsidRPr="007538FC">
        <w:rPr>
          <w:rFonts w:asciiTheme="majorHAnsi" w:hAnsiTheme="majorHAnsi"/>
          <w:b/>
          <w:bCs/>
          <w:sz w:val="28"/>
          <w:szCs w:val="28"/>
        </w:rPr>
        <w:t>Hintergrundwissen: Gelöbnismahl (</w:t>
      </w:r>
      <w:proofErr w:type="spellStart"/>
      <w:r w:rsidRPr="007538FC">
        <w:rPr>
          <w:rFonts w:asciiTheme="majorHAnsi" w:hAnsiTheme="majorHAnsi"/>
          <w:b/>
          <w:bCs/>
          <w:sz w:val="28"/>
          <w:szCs w:val="28"/>
        </w:rPr>
        <w:t>Lokma</w:t>
      </w:r>
      <w:proofErr w:type="spellEnd"/>
      <w:r w:rsidRPr="007538FC">
        <w:rPr>
          <w:rFonts w:asciiTheme="majorHAnsi" w:hAnsiTheme="majorHAnsi"/>
          <w:b/>
          <w:bCs/>
          <w:sz w:val="28"/>
          <w:szCs w:val="28"/>
        </w:rPr>
        <w:t>)</w:t>
      </w:r>
    </w:p>
    <w:p w14:paraId="5163E2D3" w14:textId="77777777" w:rsidR="00DC2C19" w:rsidRPr="007538FC" w:rsidRDefault="00DC2C19" w:rsidP="00DC2C19">
      <w:pPr>
        <w:spacing w:after="120"/>
        <w:jc w:val="both"/>
        <w:rPr>
          <w:rFonts w:asciiTheme="majorHAnsi" w:eastAsia="Arial" w:hAnsiTheme="majorHAnsi" w:cs="Arial"/>
          <w:sz w:val="22"/>
          <w:szCs w:val="22"/>
        </w:rPr>
      </w:pPr>
      <w:r w:rsidRPr="007538FC">
        <w:rPr>
          <w:rFonts w:asciiTheme="majorHAnsi" w:hAnsiTheme="majorHAnsi"/>
          <w:sz w:val="22"/>
          <w:szCs w:val="22"/>
        </w:rPr>
        <w:t>Zum Ende eines Gottesdienstes gibt es das Opfermahl. Die Teilnehmerinnen und Teilnehmer bringen zum Gottesdienst Speisen und Getränke mit. Der /die Verantwortliche für die Verteilung des Opfermahls (</w:t>
      </w:r>
      <w:proofErr w:type="spellStart"/>
      <w:r w:rsidRPr="007538FC">
        <w:rPr>
          <w:rFonts w:asciiTheme="majorHAnsi" w:hAnsiTheme="majorHAnsi"/>
          <w:sz w:val="22"/>
          <w:szCs w:val="22"/>
        </w:rPr>
        <w:t>Lokmaci</w:t>
      </w:r>
      <w:proofErr w:type="spellEnd"/>
      <w:r w:rsidRPr="007538FC">
        <w:rPr>
          <w:rFonts w:asciiTheme="majorHAnsi" w:hAnsiTheme="majorHAnsi"/>
          <w:sz w:val="22"/>
          <w:szCs w:val="22"/>
        </w:rPr>
        <w:t>) sorgt dafür, dass jeder die gleiche Menge an Essen bekommt. Nach der Verteilung fragt der/die Verantwortliche die Teilnehmerinnen und Teilnehmer, ob jede/r mit ihrem/seinem Anteil einverstanden ist. Dazu wird dieser folgende Spruch gesagt:</w:t>
      </w:r>
    </w:p>
    <w:p w14:paraId="000187EE" w14:textId="77777777" w:rsidR="00DC2C19" w:rsidRPr="007538FC" w:rsidRDefault="00DC2C19" w:rsidP="00DC2C19">
      <w:pPr>
        <w:ind w:left="708"/>
        <w:jc w:val="both"/>
        <w:rPr>
          <w:rFonts w:asciiTheme="majorHAnsi" w:eastAsia="Arial" w:hAnsiTheme="majorHAnsi" w:cs="Arial"/>
          <w:i/>
          <w:iCs/>
          <w:sz w:val="22"/>
          <w:szCs w:val="22"/>
        </w:rPr>
      </w:pPr>
      <w:r w:rsidRPr="007538FC">
        <w:rPr>
          <w:rFonts w:asciiTheme="majorHAnsi" w:hAnsiTheme="majorHAnsi"/>
          <w:i/>
          <w:iCs/>
          <w:sz w:val="22"/>
          <w:szCs w:val="22"/>
        </w:rPr>
        <w:t>„Zum Cem kam Gottesgabe.</w:t>
      </w:r>
    </w:p>
    <w:p w14:paraId="55C86FAE" w14:textId="77777777" w:rsidR="00DC2C19" w:rsidRPr="007538FC" w:rsidRDefault="00DC2C19" w:rsidP="00DC2C19">
      <w:pPr>
        <w:ind w:left="708"/>
        <w:jc w:val="both"/>
        <w:rPr>
          <w:rFonts w:asciiTheme="majorHAnsi" w:eastAsia="Arial" w:hAnsiTheme="majorHAnsi" w:cs="Arial"/>
          <w:i/>
          <w:iCs/>
          <w:sz w:val="22"/>
          <w:szCs w:val="22"/>
        </w:rPr>
      </w:pPr>
      <w:r w:rsidRPr="007538FC">
        <w:rPr>
          <w:rFonts w:asciiTheme="majorHAnsi" w:hAnsiTheme="majorHAnsi"/>
          <w:i/>
          <w:iCs/>
          <w:sz w:val="22"/>
          <w:szCs w:val="22"/>
        </w:rPr>
        <w:t>In der Hand habe ich keine Waage.</w:t>
      </w:r>
    </w:p>
    <w:p w14:paraId="0571453A" w14:textId="77777777" w:rsidR="00DC2C19" w:rsidRPr="007538FC" w:rsidRDefault="00DC2C19" w:rsidP="00DC2C19">
      <w:pPr>
        <w:ind w:left="708"/>
        <w:jc w:val="both"/>
        <w:rPr>
          <w:rFonts w:asciiTheme="majorHAnsi" w:eastAsia="Arial" w:hAnsiTheme="majorHAnsi" w:cs="Arial"/>
          <w:i/>
          <w:iCs/>
          <w:sz w:val="22"/>
          <w:szCs w:val="22"/>
        </w:rPr>
      </w:pPr>
      <w:r w:rsidRPr="007538FC">
        <w:rPr>
          <w:rFonts w:asciiTheme="majorHAnsi" w:hAnsiTheme="majorHAnsi"/>
          <w:i/>
          <w:iCs/>
          <w:sz w:val="22"/>
          <w:szCs w:val="22"/>
        </w:rPr>
        <w:t xml:space="preserve">Seid ihr mit eurem Anteil einverstanden?“ </w:t>
      </w:r>
    </w:p>
    <w:p w14:paraId="65796955" w14:textId="77777777" w:rsidR="00DC2C19" w:rsidRPr="007538FC" w:rsidRDefault="00DC2C19" w:rsidP="00DC2C19">
      <w:pPr>
        <w:jc w:val="both"/>
        <w:rPr>
          <w:rFonts w:asciiTheme="majorHAnsi" w:eastAsia="Arial" w:hAnsiTheme="majorHAnsi" w:cs="Arial"/>
          <w:sz w:val="22"/>
          <w:szCs w:val="22"/>
        </w:rPr>
      </w:pPr>
    </w:p>
    <w:p w14:paraId="7DCAC29C" w14:textId="77777777" w:rsidR="00DC2C19" w:rsidRPr="007538FC" w:rsidRDefault="00DC2C19" w:rsidP="00DC2C19">
      <w:pPr>
        <w:jc w:val="both"/>
        <w:rPr>
          <w:rFonts w:asciiTheme="majorHAnsi" w:eastAsia="Arial" w:hAnsiTheme="majorHAnsi" w:cs="Arial"/>
          <w:sz w:val="22"/>
          <w:szCs w:val="22"/>
        </w:rPr>
      </w:pPr>
      <w:r w:rsidRPr="007538FC">
        <w:rPr>
          <w:rFonts w:asciiTheme="majorHAnsi" w:hAnsiTheme="majorHAnsi"/>
          <w:sz w:val="22"/>
          <w:szCs w:val="22"/>
        </w:rPr>
        <w:t>Diejenigen, die nicht einverstanden sind, werden nach dem Grund gefragt. Diese Teilnehmerinnen und Teilnehmer werden dann zufrieden gestellt. Das gemeinsam vorbereitete Essen (</w:t>
      </w:r>
      <w:proofErr w:type="spellStart"/>
      <w:r w:rsidRPr="007538FC">
        <w:rPr>
          <w:rFonts w:asciiTheme="majorHAnsi" w:hAnsiTheme="majorHAnsi"/>
          <w:sz w:val="22"/>
          <w:szCs w:val="22"/>
        </w:rPr>
        <w:t>Lokma</w:t>
      </w:r>
      <w:proofErr w:type="spellEnd"/>
      <w:r w:rsidRPr="007538FC">
        <w:rPr>
          <w:rFonts w:asciiTheme="majorHAnsi" w:hAnsiTheme="majorHAnsi"/>
          <w:sz w:val="22"/>
          <w:szCs w:val="22"/>
        </w:rPr>
        <w:t>) wird als Zeichen der Einheit sowie der Solidarität zum Abschluss des Gottesdienstes gleichmäßig verteilt und gegessen.</w:t>
      </w:r>
    </w:p>
    <w:p w14:paraId="6698C79E" w14:textId="77777777" w:rsidR="00DC2C19" w:rsidRPr="007538FC" w:rsidRDefault="00DC2C19" w:rsidP="00DC2C19">
      <w:pPr>
        <w:pStyle w:val="Fuzeile1"/>
        <w:tabs>
          <w:tab w:val="right" w:pos="9046"/>
        </w:tabs>
        <w:jc w:val="right"/>
        <w:rPr>
          <w:rFonts w:asciiTheme="majorHAnsi" w:eastAsia="Arial" w:hAnsiTheme="majorHAnsi" w:cs="Arial"/>
          <w:i/>
          <w:iCs/>
          <w:sz w:val="20"/>
          <w:szCs w:val="20"/>
        </w:rPr>
      </w:pPr>
      <w:r w:rsidRPr="007538FC">
        <w:rPr>
          <w:rFonts w:asciiTheme="majorHAnsi" w:hAnsiTheme="majorHAnsi"/>
          <w:i/>
          <w:iCs/>
          <w:sz w:val="20"/>
          <w:szCs w:val="20"/>
        </w:rPr>
        <w:t>(Quelle: Bozkurt / Kaplan)</w:t>
      </w:r>
    </w:p>
    <w:p w14:paraId="0E2ED670" w14:textId="77777777" w:rsidR="00DC2C19" w:rsidRPr="007538FC" w:rsidRDefault="00DC2C19" w:rsidP="00DC2C19">
      <w:pPr>
        <w:pStyle w:val="Fuzeile1"/>
        <w:tabs>
          <w:tab w:val="right" w:pos="9046"/>
        </w:tabs>
        <w:jc w:val="right"/>
        <w:rPr>
          <w:rFonts w:asciiTheme="majorHAnsi" w:eastAsia="Arial" w:hAnsiTheme="majorHAnsi" w:cs="Arial"/>
          <w:i/>
          <w:iCs/>
          <w:sz w:val="20"/>
          <w:szCs w:val="20"/>
        </w:rPr>
      </w:pPr>
      <w:r w:rsidRPr="007538FC">
        <w:rPr>
          <w:rFonts w:asciiTheme="majorHAnsi" w:hAnsiTheme="majorHAnsi"/>
          <w:i/>
          <w:iCs/>
          <w:sz w:val="20"/>
          <w:szCs w:val="20"/>
        </w:rPr>
        <w:t xml:space="preserve"> </w:t>
      </w:r>
    </w:p>
    <w:p w14:paraId="35E53897" w14:textId="77777777" w:rsidR="00DC2C19" w:rsidRPr="007538FC" w:rsidRDefault="00DC2C19" w:rsidP="00DC2C19">
      <w:pPr>
        <w:jc w:val="right"/>
        <w:rPr>
          <w:rFonts w:asciiTheme="majorHAnsi" w:eastAsia="Arial" w:hAnsiTheme="majorHAnsi" w:cs="Arial"/>
          <w:b/>
          <w:bCs/>
        </w:rPr>
      </w:pPr>
    </w:p>
    <w:p w14:paraId="35B8D1A5" w14:textId="77777777" w:rsidR="00DC2C19" w:rsidRPr="007538FC" w:rsidRDefault="00DC2C19" w:rsidP="00DC2C19">
      <w:pPr>
        <w:pStyle w:val="Listenabsatz"/>
        <w:numPr>
          <w:ilvl w:val="0"/>
          <w:numId w:val="3"/>
        </w:numPr>
        <w:spacing w:after="120"/>
        <w:rPr>
          <w:rFonts w:asciiTheme="majorHAnsi" w:eastAsia="Arial" w:hAnsiTheme="majorHAnsi" w:cs="Arial"/>
          <w:b/>
          <w:bCs/>
          <w:sz w:val="28"/>
          <w:szCs w:val="28"/>
        </w:rPr>
      </w:pPr>
      <w:r w:rsidRPr="007538FC">
        <w:rPr>
          <w:rFonts w:asciiTheme="majorHAnsi" w:hAnsiTheme="majorHAnsi"/>
          <w:b/>
          <w:bCs/>
          <w:sz w:val="28"/>
          <w:szCs w:val="28"/>
        </w:rPr>
        <w:t>Zum Einstieg in die Dritte Stunde</w:t>
      </w:r>
    </w:p>
    <w:p w14:paraId="0E4F8A26" w14:textId="77777777" w:rsidR="00DC2C19" w:rsidRPr="007538FC" w:rsidRDefault="00DC2C19" w:rsidP="00DC2C19">
      <w:pPr>
        <w:spacing w:after="120"/>
        <w:jc w:val="both"/>
        <w:rPr>
          <w:rFonts w:asciiTheme="majorHAnsi" w:eastAsia="Arial" w:hAnsiTheme="majorHAnsi" w:cs="Arial"/>
          <w:sz w:val="22"/>
          <w:szCs w:val="22"/>
        </w:rPr>
      </w:pPr>
      <w:r w:rsidRPr="007538FC">
        <w:rPr>
          <w:rFonts w:asciiTheme="majorHAnsi" w:hAnsiTheme="majorHAnsi"/>
          <w:sz w:val="22"/>
          <w:szCs w:val="22"/>
        </w:rPr>
        <w:t xml:space="preserve">In der dritten Doppelstunde besteht die Möglichkeit Süßigkeiten o.ä. zu verteilen. Die Lehrkraft versucht diese gleichmäßig zu verteilen. Die </w:t>
      </w:r>
      <w:proofErr w:type="spellStart"/>
      <w:r w:rsidRPr="007538FC">
        <w:rPr>
          <w:rFonts w:asciiTheme="majorHAnsi" w:hAnsiTheme="majorHAnsi"/>
          <w:sz w:val="22"/>
          <w:szCs w:val="22"/>
        </w:rPr>
        <w:t>SuS</w:t>
      </w:r>
      <w:proofErr w:type="spellEnd"/>
      <w:r w:rsidRPr="007538FC">
        <w:rPr>
          <w:rFonts w:asciiTheme="majorHAnsi" w:hAnsiTheme="majorHAnsi"/>
          <w:sz w:val="22"/>
          <w:szCs w:val="22"/>
        </w:rPr>
        <w:t xml:space="preserve"> werden feststellen, dass einige mehr bzw. weniger  bekommen haben.  Diese Feststellung wird aufgegriffen und das Experiment ausgewertet.</w:t>
      </w:r>
    </w:p>
    <w:p w14:paraId="1C739A2A" w14:textId="77777777" w:rsidR="00DC2C19" w:rsidRPr="007538FC" w:rsidRDefault="00DC2C19" w:rsidP="00DC2C19">
      <w:pPr>
        <w:pStyle w:val="Textkrper-Zeileneinzug1"/>
        <w:spacing w:before="120" w:after="120"/>
        <w:ind w:firstLine="0"/>
        <w:rPr>
          <w:rFonts w:asciiTheme="majorHAnsi" w:eastAsia="Arial" w:hAnsiTheme="majorHAnsi" w:cs="Arial"/>
          <w:sz w:val="22"/>
          <w:szCs w:val="22"/>
        </w:rPr>
      </w:pPr>
      <w:r w:rsidRPr="007538FC">
        <w:rPr>
          <w:rFonts w:asciiTheme="majorHAnsi" w:hAnsiTheme="majorHAnsi"/>
          <w:b/>
          <w:bCs/>
          <w:sz w:val="28"/>
          <w:szCs w:val="28"/>
        </w:rPr>
        <w:lastRenderedPageBreak/>
        <w:t xml:space="preserve">d) Hintergrundwissen: Rechenschaftsposition im Cem-Gottesdienst </w:t>
      </w:r>
      <w:r w:rsidRPr="007538FC">
        <w:rPr>
          <w:rFonts w:asciiTheme="majorHAnsi" w:hAnsiTheme="majorHAnsi"/>
          <w:sz w:val="22"/>
          <w:szCs w:val="22"/>
        </w:rPr>
        <w:t>(zu AB 3)</w:t>
      </w:r>
    </w:p>
    <w:p w14:paraId="19EE063E" w14:textId="77777777" w:rsidR="00DC2C19" w:rsidRPr="007538FC" w:rsidRDefault="00DC2C19" w:rsidP="00DC2C19">
      <w:pPr>
        <w:pStyle w:val="Textkrper-Zeileneinzug1"/>
        <w:spacing w:before="120" w:after="120"/>
        <w:ind w:firstLine="0"/>
        <w:jc w:val="center"/>
        <w:rPr>
          <w:rFonts w:asciiTheme="majorHAnsi" w:eastAsia="Arial" w:hAnsiTheme="majorHAnsi" w:cs="Arial"/>
          <w:b/>
          <w:bCs/>
        </w:rPr>
      </w:pPr>
      <w:r w:rsidRPr="007538FC">
        <w:rPr>
          <w:rFonts w:asciiTheme="majorHAnsi" w:hAnsiTheme="majorHAnsi"/>
          <w:b/>
          <w:bCs/>
        </w:rPr>
        <w:t>(</w:t>
      </w:r>
      <w:proofErr w:type="spellStart"/>
      <w:r w:rsidRPr="007538FC">
        <w:rPr>
          <w:rFonts w:asciiTheme="majorHAnsi" w:hAnsiTheme="majorHAnsi"/>
          <w:b/>
          <w:bCs/>
        </w:rPr>
        <w:t>dara</w:t>
      </w:r>
      <w:proofErr w:type="spellEnd"/>
      <w:r w:rsidRPr="007538FC">
        <w:rPr>
          <w:rFonts w:asciiTheme="majorHAnsi" w:hAnsiTheme="majorHAnsi"/>
          <w:b/>
          <w:bCs/>
        </w:rPr>
        <w:t xml:space="preserve"> </w:t>
      </w:r>
      <w:proofErr w:type="spellStart"/>
      <w:r w:rsidRPr="007538FC">
        <w:rPr>
          <w:rFonts w:asciiTheme="majorHAnsi" w:hAnsiTheme="majorHAnsi"/>
          <w:b/>
          <w:bCs/>
        </w:rPr>
        <w:t>durmak</w:t>
      </w:r>
      <w:proofErr w:type="spellEnd"/>
      <w:r w:rsidRPr="007538FC">
        <w:rPr>
          <w:rFonts w:asciiTheme="majorHAnsi" w:hAnsiTheme="majorHAnsi"/>
          <w:b/>
          <w:bCs/>
        </w:rPr>
        <w:t>)</w:t>
      </w:r>
    </w:p>
    <w:p w14:paraId="5B7228DA" w14:textId="77777777" w:rsidR="00DC2C19" w:rsidRPr="007538FC" w:rsidRDefault="00DC2C19" w:rsidP="00DC2C19">
      <w:pPr>
        <w:spacing w:before="120" w:after="120"/>
        <w:rPr>
          <w:rFonts w:asciiTheme="majorHAnsi" w:eastAsia="Arial" w:hAnsiTheme="majorHAnsi" w:cs="Arial"/>
        </w:rPr>
      </w:pPr>
    </w:p>
    <w:p w14:paraId="4596131A" w14:textId="77777777" w:rsidR="00DC2C19" w:rsidRPr="007538FC" w:rsidRDefault="00DC2C19" w:rsidP="00DC2C19">
      <w:pPr>
        <w:tabs>
          <w:tab w:val="left" w:pos="2268"/>
        </w:tabs>
        <w:spacing w:before="120" w:after="120"/>
        <w:ind w:left="2268" w:hanging="2268"/>
        <w:rPr>
          <w:rFonts w:asciiTheme="majorHAnsi" w:eastAsia="Arial" w:hAnsiTheme="majorHAnsi" w:cs="Arial"/>
          <w:sz w:val="22"/>
          <w:szCs w:val="22"/>
        </w:rPr>
      </w:pPr>
      <w:r w:rsidRPr="007538FC">
        <w:rPr>
          <w:rFonts w:asciiTheme="majorHAnsi" w:hAnsiTheme="majorHAnsi"/>
          <w:b/>
          <w:bCs/>
          <w:sz w:val="22"/>
          <w:szCs w:val="22"/>
        </w:rPr>
        <w:t>Dar:</w:t>
      </w:r>
      <w:r w:rsidRPr="007538FC">
        <w:rPr>
          <w:rFonts w:asciiTheme="majorHAnsi" w:eastAsia="Arial" w:hAnsiTheme="majorHAnsi" w:cs="Arial"/>
          <w:sz w:val="22"/>
          <w:szCs w:val="22"/>
        </w:rPr>
        <w:tab/>
        <w:t>Anklageort/ Aufkl</w:t>
      </w:r>
      <w:r w:rsidRPr="007538FC">
        <w:rPr>
          <w:rFonts w:asciiTheme="majorHAnsi" w:hAnsiTheme="majorHAnsi"/>
          <w:sz w:val="22"/>
          <w:szCs w:val="22"/>
        </w:rPr>
        <w:t xml:space="preserve">ärungsort bei den </w:t>
      </w:r>
      <w:proofErr w:type="spellStart"/>
      <w:r w:rsidRPr="007538FC">
        <w:rPr>
          <w:rFonts w:asciiTheme="majorHAnsi" w:hAnsiTheme="majorHAnsi"/>
          <w:sz w:val="22"/>
          <w:szCs w:val="22"/>
        </w:rPr>
        <w:t>Aleviten</w:t>
      </w:r>
      <w:proofErr w:type="spellEnd"/>
      <w:r w:rsidRPr="007538FC">
        <w:rPr>
          <w:rFonts w:asciiTheme="majorHAnsi" w:hAnsiTheme="majorHAnsi"/>
          <w:sz w:val="22"/>
          <w:szCs w:val="22"/>
        </w:rPr>
        <w:t>: Ort zur Klärung von Streitigkeiten</w:t>
      </w:r>
    </w:p>
    <w:p w14:paraId="2967B978" w14:textId="77777777" w:rsidR="00DC2C19" w:rsidRPr="007538FC" w:rsidRDefault="00DC2C19" w:rsidP="00DC2C19">
      <w:pPr>
        <w:tabs>
          <w:tab w:val="left" w:pos="2268"/>
        </w:tabs>
        <w:spacing w:before="120" w:after="120"/>
        <w:ind w:left="2268" w:hanging="2268"/>
        <w:rPr>
          <w:rFonts w:asciiTheme="majorHAnsi" w:eastAsia="Arial" w:hAnsiTheme="majorHAnsi" w:cs="Arial"/>
          <w:sz w:val="22"/>
          <w:szCs w:val="22"/>
        </w:rPr>
      </w:pPr>
      <w:proofErr w:type="spellStart"/>
      <w:r w:rsidRPr="007538FC">
        <w:rPr>
          <w:rFonts w:asciiTheme="majorHAnsi" w:hAnsiTheme="majorHAnsi"/>
          <w:b/>
          <w:bCs/>
          <w:sz w:val="22"/>
          <w:szCs w:val="22"/>
        </w:rPr>
        <w:t>Dar’a</w:t>
      </w:r>
      <w:proofErr w:type="spellEnd"/>
      <w:r w:rsidRPr="007538FC">
        <w:rPr>
          <w:rFonts w:asciiTheme="majorHAnsi" w:hAnsiTheme="majorHAnsi"/>
          <w:b/>
          <w:bCs/>
          <w:sz w:val="22"/>
          <w:szCs w:val="22"/>
        </w:rPr>
        <w:t xml:space="preserve"> </w:t>
      </w:r>
      <w:proofErr w:type="spellStart"/>
      <w:r w:rsidRPr="007538FC">
        <w:rPr>
          <w:rFonts w:asciiTheme="majorHAnsi" w:hAnsiTheme="majorHAnsi"/>
          <w:b/>
          <w:bCs/>
          <w:sz w:val="22"/>
          <w:szCs w:val="22"/>
        </w:rPr>
        <w:t>çekmek</w:t>
      </w:r>
      <w:proofErr w:type="spellEnd"/>
      <w:r w:rsidRPr="007538FC">
        <w:rPr>
          <w:rFonts w:asciiTheme="majorHAnsi" w:hAnsiTheme="majorHAnsi"/>
          <w:sz w:val="22"/>
          <w:szCs w:val="22"/>
        </w:rPr>
        <w:t>:</w:t>
      </w:r>
      <w:r w:rsidRPr="007538FC">
        <w:rPr>
          <w:rFonts w:asciiTheme="majorHAnsi" w:hAnsiTheme="majorHAnsi"/>
          <w:sz w:val="22"/>
          <w:szCs w:val="22"/>
        </w:rPr>
        <w:tab/>
        <w:t>anklagen</w:t>
      </w:r>
    </w:p>
    <w:p w14:paraId="0B42EF16" w14:textId="77777777" w:rsidR="00DC2C19" w:rsidRPr="007538FC" w:rsidRDefault="00DC2C19" w:rsidP="00DC2C19">
      <w:pPr>
        <w:tabs>
          <w:tab w:val="left" w:pos="2268"/>
        </w:tabs>
        <w:spacing w:before="120" w:after="120"/>
        <w:ind w:left="2268" w:hanging="2268"/>
        <w:rPr>
          <w:rFonts w:asciiTheme="majorHAnsi" w:eastAsia="Arial" w:hAnsiTheme="majorHAnsi" w:cs="Arial"/>
          <w:sz w:val="22"/>
          <w:szCs w:val="22"/>
        </w:rPr>
      </w:pPr>
      <w:proofErr w:type="spellStart"/>
      <w:r w:rsidRPr="007538FC">
        <w:rPr>
          <w:rFonts w:asciiTheme="majorHAnsi" w:hAnsiTheme="majorHAnsi"/>
          <w:b/>
          <w:bCs/>
          <w:sz w:val="22"/>
          <w:szCs w:val="22"/>
        </w:rPr>
        <w:t>Darda</w:t>
      </w:r>
      <w:proofErr w:type="spellEnd"/>
      <w:r w:rsidRPr="007538FC">
        <w:rPr>
          <w:rFonts w:asciiTheme="majorHAnsi" w:hAnsiTheme="majorHAnsi"/>
          <w:b/>
          <w:bCs/>
          <w:sz w:val="22"/>
          <w:szCs w:val="22"/>
        </w:rPr>
        <w:t xml:space="preserve"> </w:t>
      </w:r>
      <w:proofErr w:type="spellStart"/>
      <w:r w:rsidRPr="007538FC">
        <w:rPr>
          <w:rFonts w:asciiTheme="majorHAnsi" w:hAnsiTheme="majorHAnsi"/>
          <w:b/>
          <w:bCs/>
          <w:sz w:val="22"/>
          <w:szCs w:val="22"/>
        </w:rPr>
        <w:t>durmak</w:t>
      </w:r>
      <w:proofErr w:type="spellEnd"/>
      <w:r w:rsidRPr="007538FC">
        <w:rPr>
          <w:rFonts w:asciiTheme="majorHAnsi" w:hAnsiTheme="majorHAnsi"/>
          <w:sz w:val="22"/>
          <w:szCs w:val="22"/>
        </w:rPr>
        <w:t>:</w:t>
      </w:r>
      <w:r w:rsidRPr="007538FC">
        <w:rPr>
          <w:rFonts w:asciiTheme="majorHAnsi" w:hAnsiTheme="majorHAnsi"/>
          <w:sz w:val="22"/>
          <w:szCs w:val="22"/>
        </w:rPr>
        <w:tab/>
        <w:t>angeklagt werden</w:t>
      </w:r>
    </w:p>
    <w:p w14:paraId="21DAE534" w14:textId="77777777" w:rsidR="00DC2C19" w:rsidRPr="007538FC" w:rsidRDefault="00DC2C19" w:rsidP="00DC2C19">
      <w:pPr>
        <w:spacing w:before="120" w:after="120"/>
        <w:rPr>
          <w:rFonts w:asciiTheme="majorHAnsi" w:eastAsia="Arial" w:hAnsiTheme="majorHAnsi" w:cs="Arial"/>
          <w:sz w:val="22"/>
          <w:szCs w:val="22"/>
        </w:rPr>
      </w:pPr>
    </w:p>
    <w:p w14:paraId="6597B6EF"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 xml:space="preserve">Der </w:t>
      </w:r>
      <w:proofErr w:type="spellStart"/>
      <w:r w:rsidRPr="007538FC">
        <w:rPr>
          <w:rFonts w:asciiTheme="majorHAnsi" w:hAnsiTheme="majorHAnsi"/>
          <w:sz w:val="22"/>
          <w:szCs w:val="22"/>
        </w:rPr>
        <w:t>alevitische</w:t>
      </w:r>
      <w:proofErr w:type="spellEnd"/>
      <w:r w:rsidRPr="007538FC">
        <w:rPr>
          <w:rFonts w:asciiTheme="majorHAnsi" w:hAnsiTheme="majorHAnsi"/>
          <w:sz w:val="22"/>
          <w:szCs w:val="22"/>
        </w:rPr>
        <w:t xml:space="preserve"> Grundsatz „Beherrsche deine Hände, deine Zunge und deine Lenden“ besagt, dass man nicht unter Einsatz von körperlicher Gewalt oder mit Worten anderen Menschen Unrecht tun soll. Vor dem Gebet wird das Einvernehmen erzielt, wobei der Kläger und der Beklagte zu Wort kommen (Rechenschaft ablegen- </w:t>
      </w:r>
      <w:proofErr w:type="spellStart"/>
      <w:r w:rsidRPr="007538FC">
        <w:rPr>
          <w:rFonts w:asciiTheme="majorHAnsi" w:hAnsiTheme="majorHAnsi"/>
          <w:sz w:val="22"/>
          <w:szCs w:val="22"/>
        </w:rPr>
        <w:t>dar’a</w:t>
      </w:r>
      <w:proofErr w:type="spellEnd"/>
      <w:r w:rsidRPr="007538FC">
        <w:rPr>
          <w:rFonts w:asciiTheme="majorHAnsi" w:hAnsiTheme="majorHAnsi"/>
          <w:sz w:val="22"/>
          <w:szCs w:val="22"/>
        </w:rPr>
        <w:t xml:space="preserve"> </w:t>
      </w:r>
      <w:proofErr w:type="spellStart"/>
      <w:r w:rsidRPr="007538FC">
        <w:rPr>
          <w:rFonts w:asciiTheme="majorHAnsi" w:hAnsiTheme="majorHAnsi"/>
          <w:sz w:val="22"/>
          <w:szCs w:val="22"/>
        </w:rPr>
        <w:t>durmak</w:t>
      </w:r>
      <w:proofErr w:type="spellEnd"/>
      <w:r w:rsidRPr="007538FC">
        <w:rPr>
          <w:rFonts w:asciiTheme="majorHAnsi" w:hAnsiTheme="majorHAnsi"/>
          <w:sz w:val="22"/>
          <w:szCs w:val="22"/>
        </w:rPr>
        <w:t xml:space="preserve">) soll und das festgelegte Unrecht behoben wird. </w:t>
      </w:r>
    </w:p>
    <w:p w14:paraId="0851CDC3"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Die Rechenschaft abzulegen ist ein wichtiger Teil des Cem-Gottesdienstes. Dieses Ritual wird in der Mitte des Gottesdienstraumes vollzogen. Dabei kann jedes Gemeindemitglied selbst in die Mitte kommen und Rechenschaft ablegen oder es kann auf Wunsch eines Gemeindeangehörigen durch den „Dede“ aufgefordert werden, Rechenschaft abzulegen. Gegebenenfalls kann diese Person zur Rechenschaft gezogen werden.</w:t>
      </w:r>
    </w:p>
    <w:p w14:paraId="454F6AA3"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Die betreffende Person beugt sich vor den Geistlichen und geht in die Mitte des Raumes, steht etwas nach vorne gebeugt und legt die Hände gekreuzt auf die Brust. Der rechte Fuß wird dabei halb auf den linken Fuß gelegt.</w:t>
      </w:r>
    </w:p>
    <w:p w14:paraId="12BABCEB"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Es gibt einen speziellen Cem-Gottesdienst zur Klärung und Beseitigung von Konflikten (</w:t>
      </w:r>
      <w:proofErr w:type="spellStart"/>
      <w:r w:rsidRPr="007538FC">
        <w:rPr>
          <w:rFonts w:asciiTheme="majorHAnsi" w:hAnsiTheme="majorHAnsi"/>
          <w:sz w:val="22"/>
          <w:szCs w:val="22"/>
        </w:rPr>
        <w:t>dara</w:t>
      </w:r>
      <w:proofErr w:type="spellEnd"/>
      <w:r w:rsidRPr="007538FC">
        <w:rPr>
          <w:rFonts w:asciiTheme="majorHAnsi" w:hAnsiTheme="majorHAnsi"/>
          <w:sz w:val="22"/>
          <w:szCs w:val="22"/>
        </w:rPr>
        <w:t xml:space="preserve"> </w:t>
      </w:r>
      <w:proofErr w:type="spellStart"/>
      <w:r w:rsidRPr="007538FC">
        <w:rPr>
          <w:rFonts w:asciiTheme="majorHAnsi" w:hAnsiTheme="majorHAnsi"/>
          <w:sz w:val="22"/>
          <w:szCs w:val="22"/>
        </w:rPr>
        <w:t>çekme</w:t>
      </w:r>
      <w:proofErr w:type="spellEnd"/>
      <w:r w:rsidRPr="007538FC">
        <w:rPr>
          <w:rFonts w:asciiTheme="majorHAnsi" w:hAnsiTheme="majorHAnsi"/>
          <w:sz w:val="22"/>
          <w:szCs w:val="22"/>
        </w:rPr>
        <w:t xml:space="preserve">). Bei diesem Cem-Gottesdienst werden alle Konflikte, d.h. alle Streitigkeiten zwischen Gemeindemitgliedern erörtert. Das ist aufgrund des </w:t>
      </w:r>
      <w:proofErr w:type="spellStart"/>
      <w:r w:rsidRPr="007538FC">
        <w:rPr>
          <w:rFonts w:asciiTheme="majorHAnsi" w:hAnsiTheme="majorHAnsi"/>
          <w:sz w:val="22"/>
          <w:szCs w:val="22"/>
        </w:rPr>
        <w:t>alevitischen</w:t>
      </w:r>
      <w:proofErr w:type="spellEnd"/>
      <w:r w:rsidRPr="007538FC">
        <w:rPr>
          <w:rFonts w:asciiTheme="majorHAnsi" w:hAnsiTheme="majorHAnsi"/>
          <w:sz w:val="22"/>
          <w:szCs w:val="22"/>
        </w:rPr>
        <w:t xml:space="preserve"> Gebotes für jeden einmal im Jahr im Cem-Gottesdienst notwendig, bei dem alle Mitglieder der Gemeinde anwesend sein sollen. </w:t>
      </w:r>
    </w:p>
    <w:p w14:paraId="20EE44B6" w14:textId="77777777" w:rsidR="00DC2C19" w:rsidRPr="007538FC" w:rsidRDefault="00DC2C19" w:rsidP="00DC2C19">
      <w:pPr>
        <w:spacing w:before="120" w:after="120"/>
        <w:jc w:val="both"/>
        <w:rPr>
          <w:rFonts w:asciiTheme="majorHAnsi" w:eastAsia="Arial" w:hAnsiTheme="majorHAnsi" w:cs="Arial"/>
          <w:sz w:val="22"/>
          <w:szCs w:val="22"/>
        </w:rPr>
      </w:pPr>
      <w:proofErr w:type="spellStart"/>
      <w:r w:rsidRPr="007538FC">
        <w:rPr>
          <w:rFonts w:asciiTheme="majorHAnsi" w:hAnsiTheme="majorHAnsi"/>
          <w:sz w:val="22"/>
          <w:szCs w:val="22"/>
        </w:rPr>
        <w:t>Aleviten</w:t>
      </w:r>
      <w:proofErr w:type="spellEnd"/>
      <w:r w:rsidRPr="007538FC">
        <w:rPr>
          <w:rFonts w:asciiTheme="majorHAnsi" w:hAnsiTheme="majorHAnsi"/>
          <w:sz w:val="22"/>
          <w:szCs w:val="22"/>
        </w:rPr>
        <w:t xml:space="preserve"> glauben: „Gott sagt: Kommt nicht zu mir mit Ungerechtigkeit gegenüber den Menschen. Ihr sollt es untereinander regeln und erledigen.“</w:t>
      </w:r>
    </w:p>
    <w:p w14:paraId="6FCEBC93"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 xml:space="preserve">In diesem Gottesdienst werden die gegenseitigen Beschwerden und Vorwürfe offen dargelegt bzw. eigenes Fehlverhalten von Betroffenen selbst offenbart. Verfehlungen werden bestraft und die Beteiligten werden miteinander versöhnt, indem der Schuldige einen Ausgleich für die Gemeinde oder an die Betroffenen leistet. </w:t>
      </w:r>
    </w:p>
    <w:p w14:paraId="69255806" w14:textId="77777777" w:rsidR="00DC2C19" w:rsidRPr="007538FC" w:rsidRDefault="00DC2C19" w:rsidP="00DC2C19">
      <w:pPr>
        <w:spacing w:before="120" w:after="120"/>
        <w:jc w:val="both"/>
        <w:rPr>
          <w:rFonts w:asciiTheme="majorHAnsi" w:eastAsia="Arial" w:hAnsiTheme="majorHAnsi" w:cs="Arial"/>
          <w:sz w:val="22"/>
          <w:szCs w:val="22"/>
        </w:rPr>
      </w:pPr>
      <w:r w:rsidRPr="007538FC">
        <w:rPr>
          <w:rFonts w:asciiTheme="majorHAnsi" w:hAnsiTheme="majorHAnsi"/>
          <w:sz w:val="22"/>
          <w:szCs w:val="22"/>
        </w:rPr>
        <w:t>Die Strafen werden vom „Dede“ vorgeschlagen und gemeinsam und offen festgelegt. Der Betroffene wird von der Gemeinschaft für eine begrenzte Zeit (1, 3 oder 10 Jahre) ausgeschlossen.</w:t>
      </w:r>
    </w:p>
    <w:p w14:paraId="58AECB80" w14:textId="77777777" w:rsidR="00DC2C19" w:rsidRPr="007538FC" w:rsidRDefault="00DC2C19" w:rsidP="00DC2C19">
      <w:pPr>
        <w:pStyle w:val="xmsonormal"/>
        <w:spacing w:before="0" w:beforeAutospacing="0" w:after="0" w:afterAutospacing="0"/>
        <w:rPr>
          <w:rFonts w:asciiTheme="majorHAnsi" w:hAnsiTheme="majorHAnsi" w:cs="Times New Roman"/>
          <w:color w:val="000000"/>
          <w:sz w:val="24"/>
          <w:szCs w:val="24"/>
        </w:rPr>
      </w:pPr>
    </w:p>
    <w:p w14:paraId="44C1C7DD" w14:textId="77777777" w:rsidR="00DC2C19" w:rsidRPr="007538FC" w:rsidRDefault="00DC2C19" w:rsidP="00DC2C19">
      <w:pPr>
        <w:pStyle w:val="xmsonormal"/>
        <w:spacing w:before="0" w:beforeAutospacing="0" w:after="0" w:afterAutospacing="0"/>
        <w:rPr>
          <w:rFonts w:asciiTheme="majorHAnsi" w:hAnsiTheme="majorHAnsi" w:cs="Times New Roman"/>
          <w:color w:val="000000"/>
          <w:sz w:val="24"/>
          <w:szCs w:val="24"/>
        </w:rPr>
      </w:pPr>
    </w:p>
    <w:p w14:paraId="591D455F" w14:textId="77777777" w:rsidR="00DC2C19" w:rsidRDefault="00DC2C19" w:rsidP="00DC2C19"/>
    <w:p w14:paraId="52FB306B" w14:textId="77777777" w:rsidR="0020183C" w:rsidRDefault="0020183C"/>
    <w:sectPr w:rsidR="0020183C">
      <w:head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71B00" w14:textId="77777777" w:rsidR="00DC2C19" w:rsidRDefault="00DC2C19" w:rsidP="00DC2C19">
      <w:r>
        <w:separator/>
      </w:r>
    </w:p>
  </w:endnote>
  <w:endnote w:type="continuationSeparator" w:id="0">
    <w:p w14:paraId="3B17E9A2" w14:textId="77777777" w:rsidR="00DC2C19" w:rsidRDefault="00DC2C19" w:rsidP="00DC2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D49B9" w14:textId="77777777" w:rsidR="00DC2C19" w:rsidRDefault="00DC2C19" w:rsidP="00DC2C19">
      <w:r>
        <w:separator/>
      </w:r>
    </w:p>
  </w:footnote>
  <w:footnote w:type="continuationSeparator" w:id="0">
    <w:p w14:paraId="621338E4" w14:textId="77777777" w:rsidR="00DC2C19" w:rsidRDefault="00DC2C19" w:rsidP="00DC2C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2"/>
      <w:gridCol w:w="8568"/>
    </w:tblGrid>
    <w:tr w:rsidR="00DC2C19" w14:paraId="660C5165" w14:textId="77777777" w:rsidTr="00DC2C19">
      <w:trPr>
        <w:trHeight w:val="624"/>
      </w:trPr>
      <w:tc>
        <w:tcPr>
          <w:tcW w:w="612" w:type="dxa"/>
          <w:shd w:val="clear" w:color="auto" w:fill="404040" w:themeFill="text1" w:themeFillTint="BF"/>
          <w:vAlign w:val="center"/>
        </w:tcPr>
        <w:p w14:paraId="5FEC74ED" w14:textId="77777777" w:rsidR="00DC2C19" w:rsidRPr="006060E2" w:rsidRDefault="00DC2C19" w:rsidP="006A3AB8">
          <w:pPr>
            <w:pStyle w:val="M-Nummer"/>
          </w:pPr>
          <w:r w:rsidRPr="006060E2">
            <w:t>M</w:t>
          </w:r>
          <w:r>
            <w:t>2</w:t>
          </w:r>
        </w:p>
      </w:tc>
      <w:tc>
        <w:tcPr>
          <w:tcW w:w="8568" w:type="dxa"/>
          <w:vAlign w:val="center"/>
        </w:tcPr>
        <w:p w14:paraId="0D4E8EE7" w14:textId="77777777" w:rsidR="00DC2C19" w:rsidRDefault="00DC2C19" w:rsidP="006A3AB8">
          <w:pPr>
            <w:pStyle w:val="Titel2"/>
            <w:rPr>
              <w:b/>
              <w:bCs/>
              <w:color w:val="auto"/>
              <w:spacing w:val="20"/>
              <w:sz w:val="32"/>
              <w:szCs w:val="32"/>
            </w:rPr>
          </w:pPr>
          <w:proofErr w:type="spellStart"/>
          <w:r>
            <w:rPr>
              <w:b/>
              <w:bCs/>
              <w:color w:val="auto"/>
              <w:spacing w:val="20"/>
              <w:sz w:val="32"/>
              <w:szCs w:val="32"/>
            </w:rPr>
            <w:t>Inforamtionsblatt</w:t>
          </w:r>
          <w:proofErr w:type="spellEnd"/>
          <w:r>
            <w:rPr>
              <w:b/>
              <w:bCs/>
              <w:color w:val="auto"/>
              <w:spacing w:val="20"/>
              <w:sz w:val="32"/>
              <w:szCs w:val="32"/>
            </w:rPr>
            <w:t xml:space="preserve"> für Lehrerinnen und Lehrer</w:t>
          </w:r>
        </w:p>
        <w:p w14:paraId="19CCEF7D" w14:textId="77777777" w:rsidR="00DC2C19" w:rsidRPr="006060E2" w:rsidRDefault="00DC2C19" w:rsidP="006A3AB8">
          <w:pPr>
            <w:pStyle w:val="Titel2"/>
          </w:pPr>
          <w:r>
            <w:t>UE Miteinander gerecht leben | Sek I (Jg. 5-6) | Dennis Graham u.a.</w:t>
          </w:r>
        </w:p>
      </w:tc>
    </w:tr>
  </w:tbl>
  <w:p w14:paraId="019B785F" w14:textId="77777777" w:rsidR="00DC2C19" w:rsidRDefault="00DC2C1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E8C"/>
    <w:multiLevelType w:val="multilevel"/>
    <w:tmpl w:val="F3C47090"/>
    <w:lvl w:ilvl="0">
      <w:start w:val="1"/>
      <w:numFmt w:val="lowerLetter"/>
      <w:lvlText w:val="%1)"/>
      <w:lvlJc w:val="left"/>
      <w:pPr>
        <w:ind w:left="360" w:hanging="360"/>
      </w:pPr>
      <w:rPr>
        <w:rFonts w:ascii="Arial" w:hAnsi="Arial"/>
        <w:caps w:val="0"/>
        <w:smallCaps w:val="0"/>
        <w:strike w:val="0"/>
        <w:dstrike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569C6DB3"/>
    <w:multiLevelType w:val="multilevel"/>
    <w:tmpl w:val="5D121112"/>
    <w:lvl w:ilvl="0">
      <w:start w:val="2"/>
      <w:numFmt w:val="lowerLetter"/>
      <w:lvlText w:val="%1)"/>
      <w:lvlJc w:val="left"/>
      <w:pPr>
        <w:ind w:left="360" w:hanging="360"/>
      </w:pPr>
      <w:rPr>
        <w:rFonts w:ascii="Arial" w:hAnsi="Arial"/>
        <w:caps w:val="0"/>
        <w:smallCaps w:val="0"/>
        <w:strike w:val="0"/>
        <w:dstrike w:val="0"/>
        <w:color w:val="000000"/>
        <w:spacing w:val="0"/>
        <w:w w:val="100"/>
        <w:position w:val="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0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ind w:left="180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52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ind w:left="324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ind w:left="396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ind w:left="468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ind w:left="5400" w:hanging="360"/>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ind w:left="6120" w:hanging="313"/>
      </w:pPr>
      <w:rPr>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60427E98"/>
    <w:multiLevelType w:val="multilevel"/>
    <w:tmpl w:val="B712E33A"/>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ascii="Symbol" w:hAnsi="Symbol" w:cs="Symbol" w:hint="default"/>
        <w:b w:val="0"/>
        <w:bCs w:val="0"/>
        <w:i w:val="0"/>
        <w:iCs w:val="0"/>
        <w:caps w:val="0"/>
        <w:smallCaps w:val="0"/>
        <w:strike w:val="0"/>
        <w:dstrike w:val="0"/>
        <w:color w:val="000000"/>
        <w:spacing w:val="0"/>
        <w:w w:val="1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C19"/>
    <w:rsid w:val="0020183C"/>
    <w:rsid w:val="00590190"/>
    <w:rsid w:val="00C06A35"/>
    <w:rsid w:val="00DC2C1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98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C19"/>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DC2C19"/>
    <w:pPr>
      <w:spacing w:before="100" w:beforeAutospacing="1" w:after="100" w:afterAutospacing="1"/>
    </w:pPr>
    <w:rPr>
      <w:rFonts w:ascii="Times" w:hAnsi="Times"/>
      <w:sz w:val="20"/>
      <w:szCs w:val="20"/>
    </w:rPr>
  </w:style>
  <w:style w:type="paragraph" w:styleId="Listenabsatz">
    <w:name w:val="List Paragraph"/>
    <w:qFormat/>
    <w:rsid w:val="00DC2C19"/>
    <w:pPr>
      <w:ind w:left="720"/>
    </w:pPr>
    <w:rPr>
      <w:rFonts w:ascii="Calibri" w:eastAsia="Calibri" w:hAnsi="Calibri" w:cs="Calibri"/>
      <w:color w:val="000000"/>
      <w:u w:color="000000"/>
      <w:lang w:eastAsia="de-DE"/>
    </w:rPr>
  </w:style>
  <w:style w:type="paragraph" w:customStyle="1" w:styleId="berschrift11">
    <w:name w:val="Überschrift 11"/>
    <w:basedOn w:val="Standard"/>
    <w:next w:val="Standard"/>
    <w:qFormat/>
    <w:rsid w:val="00DC2C19"/>
    <w:pPr>
      <w:keepNext/>
      <w:spacing w:before="240" w:after="60"/>
      <w:outlineLvl w:val="0"/>
    </w:pPr>
    <w:rPr>
      <w:rFonts w:ascii="Arial" w:eastAsia="Microsoft YaHei" w:hAnsi="Arial" w:cs="Arial Unicode MS"/>
      <w:b/>
      <w:bCs/>
      <w:color w:val="000000"/>
      <w:sz w:val="32"/>
      <w:szCs w:val="32"/>
      <w:u w:color="000000"/>
    </w:rPr>
  </w:style>
  <w:style w:type="paragraph" w:customStyle="1" w:styleId="Fuzeile1">
    <w:name w:val="Fußzeile1"/>
    <w:basedOn w:val="Standard"/>
    <w:rsid w:val="00DC2C19"/>
    <w:pPr>
      <w:tabs>
        <w:tab w:val="center" w:pos="4536"/>
        <w:tab w:val="right" w:pos="9072"/>
      </w:tabs>
    </w:pPr>
    <w:rPr>
      <w:rFonts w:ascii="Cambria" w:eastAsia="Cambria" w:hAnsi="Cambria" w:cs="Cambria"/>
      <w:color w:val="000000"/>
      <w:u w:color="000000"/>
    </w:rPr>
  </w:style>
  <w:style w:type="paragraph" w:customStyle="1" w:styleId="Textkrper-Zeileneinzug1">
    <w:name w:val="Textkörper-Zeileneinzug1"/>
    <w:qFormat/>
    <w:rsid w:val="00DC2C19"/>
    <w:pPr>
      <w:suppressAutoHyphens/>
      <w:spacing w:after="0" w:line="240" w:lineRule="auto"/>
      <w:ind w:firstLine="708"/>
    </w:pPr>
    <w:rPr>
      <w:rFonts w:ascii="Cambria" w:eastAsia="Cambria" w:hAnsi="Cambria" w:cs="Cambria"/>
      <w:color w:val="000000"/>
      <w:sz w:val="24"/>
      <w:szCs w:val="24"/>
      <w:u w:color="000000"/>
      <w:lang w:eastAsia="de-DE"/>
    </w:rPr>
  </w:style>
  <w:style w:type="paragraph" w:styleId="Kopfzeile">
    <w:name w:val="header"/>
    <w:basedOn w:val="Standard"/>
    <w:link w:val="KopfzeileZchn"/>
    <w:uiPriority w:val="99"/>
    <w:unhideWhenUsed/>
    <w:rsid w:val="00DC2C19"/>
    <w:pPr>
      <w:tabs>
        <w:tab w:val="center" w:pos="4536"/>
        <w:tab w:val="right" w:pos="9072"/>
      </w:tabs>
    </w:pPr>
  </w:style>
  <w:style w:type="character" w:customStyle="1" w:styleId="KopfzeileZchn">
    <w:name w:val="Kopfzeile Zchn"/>
    <w:basedOn w:val="Absatz-Standardschriftart"/>
    <w:link w:val="Kopfzeile"/>
    <w:uiPriority w:val="99"/>
    <w:rsid w:val="00DC2C19"/>
    <w:rPr>
      <w:rFonts w:eastAsiaTheme="minorEastAsia"/>
      <w:sz w:val="24"/>
      <w:szCs w:val="24"/>
      <w:lang w:eastAsia="de-DE"/>
    </w:rPr>
  </w:style>
  <w:style w:type="paragraph" w:styleId="Fuzeile">
    <w:name w:val="footer"/>
    <w:basedOn w:val="Standard"/>
    <w:link w:val="FuzeileZchn"/>
    <w:uiPriority w:val="99"/>
    <w:unhideWhenUsed/>
    <w:rsid w:val="00DC2C19"/>
    <w:pPr>
      <w:tabs>
        <w:tab w:val="center" w:pos="4536"/>
        <w:tab w:val="right" w:pos="9072"/>
      </w:tabs>
    </w:pPr>
  </w:style>
  <w:style w:type="character" w:customStyle="1" w:styleId="FuzeileZchn">
    <w:name w:val="Fußzeile Zchn"/>
    <w:basedOn w:val="Absatz-Standardschriftart"/>
    <w:link w:val="Fuzeile"/>
    <w:uiPriority w:val="99"/>
    <w:rsid w:val="00DC2C19"/>
    <w:rPr>
      <w:rFonts w:eastAsiaTheme="minorEastAsia"/>
      <w:sz w:val="24"/>
      <w:szCs w:val="24"/>
      <w:lang w:eastAsia="de-DE"/>
    </w:rPr>
  </w:style>
  <w:style w:type="table" w:styleId="Tabellenraster">
    <w:name w:val="Table Grid"/>
    <w:basedOn w:val="NormaleTabelle"/>
    <w:uiPriority w:val="59"/>
    <w:rsid w:val="00DC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DC2C19"/>
    <w:pPr>
      <w:tabs>
        <w:tab w:val="center" w:pos="4536"/>
        <w:tab w:val="right" w:pos="9072"/>
      </w:tabs>
    </w:pPr>
    <w:rPr>
      <w:rFonts w:ascii="Arial" w:eastAsiaTheme="minorHAnsi" w:hAnsi="Arial" w:cs="Segoe UI"/>
      <w:color w:val="404040" w:themeColor="text1" w:themeTint="BF"/>
      <w:sz w:val="18"/>
      <w:szCs w:val="22"/>
      <w:lang w:eastAsia="en-US"/>
    </w:rPr>
  </w:style>
  <w:style w:type="character" w:customStyle="1" w:styleId="Titel2Zchn">
    <w:name w:val="Titel 2 Zchn"/>
    <w:basedOn w:val="Absatz-Standardschriftart"/>
    <w:link w:val="Titel2"/>
    <w:rsid w:val="00DC2C19"/>
    <w:rPr>
      <w:rFonts w:ascii="Arial" w:hAnsi="Arial" w:cs="Segoe UI"/>
      <w:color w:val="404040" w:themeColor="text1" w:themeTint="BF"/>
      <w:sz w:val="18"/>
    </w:rPr>
  </w:style>
  <w:style w:type="paragraph" w:customStyle="1" w:styleId="M-Nummer">
    <w:name w:val="M-Nummer"/>
    <w:basedOn w:val="Kopfzeile"/>
    <w:link w:val="M-NummerZchn"/>
    <w:qFormat/>
    <w:rsid w:val="00DC2C19"/>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DC2C19"/>
    <w:rPr>
      <w:rFonts w:ascii="Arial Black" w:eastAsiaTheme="minorEastAsia" w:hAnsi="Arial Black" w:cs="Segoe UI"/>
      <w:color w:val="FFFFFF" w:themeColor="background1"/>
      <w:sz w:val="32"/>
      <w:szCs w:val="3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C19"/>
    <w:pPr>
      <w:spacing w:after="0" w:line="240" w:lineRule="auto"/>
    </w:pPr>
    <w:rPr>
      <w:rFonts w:eastAsiaTheme="minorEastAsia"/>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xmsonormal">
    <w:name w:val="x_msonormal"/>
    <w:basedOn w:val="Standard"/>
    <w:rsid w:val="00DC2C19"/>
    <w:pPr>
      <w:spacing w:before="100" w:beforeAutospacing="1" w:after="100" w:afterAutospacing="1"/>
    </w:pPr>
    <w:rPr>
      <w:rFonts w:ascii="Times" w:hAnsi="Times"/>
      <w:sz w:val="20"/>
      <w:szCs w:val="20"/>
    </w:rPr>
  </w:style>
  <w:style w:type="paragraph" w:styleId="Listenabsatz">
    <w:name w:val="List Paragraph"/>
    <w:qFormat/>
    <w:rsid w:val="00DC2C19"/>
    <w:pPr>
      <w:ind w:left="720"/>
    </w:pPr>
    <w:rPr>
      <w:rFonts w:ascii="Calibri" w:eastAsia="Calibri" w:hAnsi="Calibri" w:cs="Calibri"/>
      <w:color w:val="000000"/>
      <w:u w:color="000000"/>
      <w:lang w:eastAsia="de-DE"/>
    </w:rPr>
  </w:style>
  <w:style w:type="paragraph" w:customStyle="1" w:styleId="berschrift11">
    <w:name w:val="Überschrift 11"/>
    <w:basedOn w:val="Standard"/>
    <w:next w:val="Standard"/>
    <w:qFormat/>
    <w:rsid w:val="00DC2C19"/>
    <w:pPr>
      <w:keepNext/>
      <w:spacing w:before="240" w:after="60"/>
      <w:outlineLvl w:val="0"/>
    </w:pPr>
    <w:rPr>
      <w:rFonts w:ascii="Arial" w:eastAsia="Microsoft YaHei" w:hAnsi="Arial" w:cs="Arial Unicode MS"/>
      <w:b/>
      <w:bCs/>
      <w:color w:val="000000"/>
      <w:sz w:val="32"/>
      <w:szCs w:val="32"/>
      <w:u w:color="000000"/>
    </w:rPr>
  </w:style>
  <w:style w:type="paragraph" w:customStyle="1" w:styleId="Fuzeile1">
    <w:name w:val="Fußzeile1"/>
    <w:basedOn w:val="Standard"/>
    <w:rsid w:val="00DC2C19"/>
    <w:pPr>
      <w:tabs>
        <w:tab w:val="center" w:pos="4536"/>
        <w:tab w:val="right" w:pos="9072"/>
      </w:tabs>
    </w:pPr>
    <w:rPr>
      <w:rFonts w:ascii="Cambria" w:eastAsia="Cambria" w:hAnsi="Cambria" w:cs="Cambria"/>
      <w:color w:val="000000"/>
      <w:u w:color="000000"/>
    </w:rPr>
  </w:style>
  <w:style w:type="paragraph" w:customStyle="1" w:styleId="Textkrper-Zeileneinzug1">
    <w:name w:val="Textkörper-Zeileneinzug1"/>
    <w:qFormat/>
    <w:rsid w:val="00DC2C19"/>
    <w:pPr>
      <w:suppressAutoHyphens/>
      <w:spacing w:after="0" w:line="240" w:lineRule="auto"/>
      <w:ind w:firstLine="708"/>
    </w:pPr>
    <w:rPr>
      <w:rFonts w:ascii="Cambria" w:eastAsia="Cambria" w:hAnsi="Cambria" w:cs="Cambria"/>
      <w:color w:val="000000"/>
      <w:sz w:val="24"/>
      <w:szCs w:val="24"/>
      <w:u w:color="000000"/>
      <w:lang w:eastAsia="de-DE"/>
    </w:rPr>
  </w:style>
  <w:style w:type="paragraph" w:styleId="Kopfzeile">
    <w:name w:val="header"/>
    <w:basedOn w:val="Standard"/>
    <w:link w:val="KopfzeileZchn"/>
    <w:uiPriority w:val="99"/>
    <w:unhideWhenUsed/>
    <w:rsid w:val="00DC2C19"/>
    <w:pPr>
      <w:tabs>
        <w:tab w:val="center" w:pos="4536"/>
        <w:tab w:val="right" w:pos="9072"/>
      </w:tabs>
    </w:pPr>
  </w:style>
  <w:style w:type="character" w:customStyle="1" w:styleId="KopfzeileZchn">
    <w:name w:val="Kopfzeile Zchn"/>
    <w:basedOn w:val="Absatz-Standardschriftart"/>
    <w:link w:val="Kopfzeile"/>
    <w:uiPriority w:val="99"/>
    <w:rsid w:val="00DC2C19"/>
    <w:rPr>
      <w:rFonts w:eastAsiaTheme="minorEastAsia"/>
      <w:sz w:val="24"/>
      <w:szCs w:val="24"/>
      <w:lang w:eastAsia="de-DE"/>
    </w:rPr>
  </w:style>
  <w:style w:type="paragraph" w:styleId="Fuzeile">
    <w:name w:val="footer"/>
    <w:basedOn w:val="Standard"/>
    <w:link w:val="FuzeileZchn"/>
    <w:uiPriority w:val="99"/>
    <w:unhideWhenUsed/>
    <w:rsid w:val="00DC2C19"/>
    <w:pPr>
      <w:tabs>
        <w:tab w:val="center" w:pos="4536"/>
        <w:tab w:val="right" w:pos="9072"/>
      </w:tabs>
    </w:pPr>
  </w:style>
  <w:style w:type="character" w:customStyle="1" w:styleId="FuzeileZchn">
    <w:name w:val="Fußzeile Zchn"/>
    <w:basedOn w:val="Absatz-Standardschriftart"/>
    <w:link w:val="Fuzeile"/>
    <w:uiPriority w:val="99"/>
    <w:rsid w:val="00DC2C19"/>
    <w:rPr>
      <w:rFonts w:eastAsiaTheme="minorEastAsia"/>
      <w:sz w:val="24"/>
      <w:szCs w:val="24"/>
      <w:lang w:eastAsia="de-DE"/>
    </w:rPr>
  </w:style>
  <w:style w:type="table" w:styleId="Tabellenraster">
    <w:name w:val="Table Grid"/>
    <w:basedOn w:val="NormaleTabelle"/>
    <w:uiPriority w:val="59"/>
    <w:rsid w:val="00DC2C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2">
    <w:name w:val="Titel 2"/>
    <w:basedOn w:val="Standard"/>
    <w:next w:val="Standard"/>
    <w:link w:val="Titel2Zchn"/>
    <w:qFormat/>
    <w:rsid w:val="00DC2C19"/>
    <w:pPr>
      <w:tabs>
        <w:tab w:val="center" w:pos="4536"/>
        <w:tab w:val="right" w:pos="9072"/>
      </w:tabs>
    </w:pPr>
    <w:rPr>
      <w:rFonts w:ascii="Arial" w:eastAsiaTheme="minorHAnsi" w:hAnsi="Arial" w:cs="Segoe UI"/>
      <w:color w:val="404040" w:themeColor="text1" w:themeTint="BF"/>
      <w:sz w:val="18"/>
      <w:szCs w:val="22"/>
      <w:lang w:eastAsia="en-US"/>
    </w:rPr>
  </w:style>
  <w:style w:type="character" w:customStyle="1" w:styleId="Titel2Zchn">
    <w:name w:val="Titel 2 Zchn"/>
    <w:basedOn w:val="Absatz-Standardschriftart"/>
    <w:link w:val="Titel2"/>
    <w:rsid w:val="00DC2C19"/>
    <w:rPr>
      <w:rFonts w:ascii="Arial" w:hAnsi="Arial" w:cs="Segoe UI"/>
      <w:color w:val="404040" w:themeColor="text1" w:themeTint="BF"/>
      <w:sz w:val="18"/>
    </w:rPr>
  </w:style>
  <w:style w:type="paragraph" w:customStyle="1" w:styleId="M-Nummer">
    <w:name w:val="M-Nummer"/>
    <w:basedOn w:val="Kopfzeile"/>
    <w:link w:val="M-NummerZchn"/>
    <w:qFormat/>
    <w:rsid w:val="00DC2C19"/>
    <w:pPr>
      <w:ind w:left="-170" w:right="-170"/>
      <w:jc w:val="center"/>
    </w:pPr>
    <w:rPr>
      <w:rFonts w:ascii="Arial Black" w:hAnsi="Arial Black" w:cs="Segoe UI"/>
      <w:color w:val="FFFFFF" w:themeColor="background1"/>
      <w:sz w:val="32"/>
      <w:szCs w:val="32"/>
    </w:rPr>
  </w:style>
  <w:style w:type="character" w:customStyle="1" w:styleId="M-NummerZchn">
    <w:name w:val="M-Nummer Zchn"/>
    <w:basedOn w:val="KopfzeileZchn"/>
    <w:link w:val="M-Nummer"/>
    <w:rsid w:val="00DC2C19"/>
    <w:rPr>
      <w:rFonts w:ascii="Arial Black" w:eastAsiaTheme="minorEastAsia" w:hAnsi="Arial Black" w:cs="Segoe UI"/>
      <w:color w:val="FFFFFF" w:themeColor="background1"/>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56FC18DD981648A953B8B8B6558D3F" ma:contentTypeVersion="0" ma:contentTypeDescription="Ein neues Dokument erstellen." ma:contentTypeScope="" ma:versionID="560be9783f25298f0f57c94335d80441">
  <xsd:schema xmlns:xsd="http://www.w3.org/2001/XMLSchema" xmlns:xs="http://www.w3.org/2001/XMLSchema" xmlns:p="http://schemas.microsoft.com/office/2006/metadata/properties" xmlns:ns2="3e67fe30-62aa-4ae2-91c7-40b61d06a2f8" targetNamespace="http://schemas.microsoft.com/office/2006/metadata/properties" ma:root="true" ma:fieldsID="dbb4f13c7d920138cb75c545ac24262f" ns2:_="">
    <xsd:import namespace="3e67fe30-62aa-4ae2-91c7-40b61d06a2f8"/>
    <xsd:element name="properties">
      <xsd:complexType>
        <xsd:sequence>
          <xsd:element name="documentManagement">
            <xsd:complexType>
              <xsd:all>
                <xsd:element ref="ns2:Stichwor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7fe30-62aa-4ae2-91c7-40b61d06a2f8" elementFormDefault="qualified">
    <xsd:import namespace="http://schemas.microsoft.com/office/2006/documentManagement/types"/>
    <xsd:import namespace="http://schemas.microsoft.com/office/infopath/2007/PartnerControls"/>
    <xsd:element name="Stichworte" ma:index="8" nillable="true" ma:displayName="Stichworte" ma:default="" ma:description="Stichworte für die Suche - geben Sie die Suchbegriffe mit Leerzeichen getrennt ein" ma:internalName="Stichworte">
      <xsd:simpleType>
        <xsd:restriction base="dms:Note">
          <xsd:maxLength value="255"/>
        </xsd:restriction>
      </xsd:simpleType>
    </xsd:element>
    <xsd:element name="_dlc_DocId" ma:index="9" nillable="true" ma:displayName="Wert der Dokument-ID" ma:description="Der Wert der diesem Element zugewiesenen Dokument-ID." ma:internalName="_dlc_DocId" ma:readOnly="true">
      <xsd:simpleType>
        <xsd:restriction base="dms:Text"/>
      </xsd:simpleType>
    </xsd:element>
    <xsd:element name="_dlc_DocIdUrl" ma:index="10"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ichworte xmlns="3e67fe30-62aa-4ae2-91c7-40b61d06a2f8" xsi:nil="true"/>
    <_dlc_DocId xmlns="3e67fe30-62aa-4ae2-91c7-40b61d06a2f8">UDRC32MKH3VC-1468-1814</_dlc_DocId>
    <_dlc_DocIdUrl xmlns="3e67fe30-62aa-4ae2-91c7-40b61d06a2f8">
      <Url>http://intranet/arbeitsbereich/RPIImpulse/_layouts/DocIdRedir.aspx?ID=UDRC32MKH3VC-1468-1814</Url>
      <Description>UDRC32MKH3VC-1468-1814</Description>
    </_dlc_DocIdUrl>
  </documentManagement>
</p:properties>
</file>

<file path=customXml/itemProps1.xml><?xml version="1.0" encoding="utf-8"?>
<ds:datastoreItem xmlns:ds="http://schemas.openxmlformats.org/officeDocument/2006/customXml" ds:itemID="{EE31B79C-FC3B-46F2-8480-D5C0447DAB55}"/>
</file>

<file path=customXml/itemProps2.xml><?xml version="1.0" encoding="utf-8"?>
<ds:datastoreItem xmlns:ds="http://schemas.openxmlformats.org/officeDocument/2006/customXml" ds:itemID="{8ED37F9B-2444-42AE-9CA8-3B05E4D43414}"/>
</file>

<file path=customXml/itemProps3.xml><?xml version="1.0" encoding="utf-8"?>
<ds:datastoreItem xmlns:ds="http://schemas.openxmlformats.org/officeDocument/2006/customXml" ds:itemID="{FEB0966C-C93B-4510-9E05-1CCD8C157AEE}"/>
</file>

<file path=customXml/itemProps4.xml><?xml version="1.0" encoding="utf-8"?>
<ds:datastoreItem xmlns:ds="http://schemas.openxmlformats.org/officeDocument/2006/customXml" ds:itemID="{7CA7D391-400B-4C7C-A43B-259B47DEFCA9}"/>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4279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Ullrich, Matthias</dc:creator>
  <cp:lastModifiedBy>Ullrich, Matthias</cp:lastModifiedBy>
  <cp:revision>1</cp:revision>
  <dcterms:created xsi:type="dcterms:W3CDTF">2017-08-17T16:24:00Z</dcterms:created>
  <dcterms:modified xsi:type="dcterms:W3CDTF">2017-08-17T16:28:00Z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0x0101000756FC18DD981648A953B8B8B6558D3F</vt:lpwstr>
  </property>
  <property fmtid="{D5CDD505-2E9C-101B-9397-08002B2CF9AE}" pid="3" name="_dlc_DocIdItemGuid">
    <vt:lpwstr>39de24e0-2caf-4c0f-9275-30272984d867</vt:lpwstr>
  </property>
</Properties>
</file>