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6A9A" w14:textId="6A918F17" w:rsidR="000C4C07" w:rsidRPr="000C4C07" w:rsidRDefault="000C4C07" w:rsidP="000C4C07">
      <w:pPr>
        <w:spacing w:line="240" w:lineRule="auto"/>
        <w:rPr>
          <w:b/>
          <w:bCs/>
          <w:sz w:val="28"/>
          <w:szCs w:val="28"/>
        </w:rPr>
      </w:pPr>
      <w:r w:rsidRPr="000C4C07">
        <w:rPr>
          <w:b/>
          <w:bCs/>
          <w:sz w:val="28"/>
          <w:szCs w:val="28"/>
        </w:rPr>
        <w:t>Hinweise zur Vorbereitung auf die schriftlichen Abiturprüfungen im Landesabitur 2024</w:t>
      </w:r>
    </w:p>
    <w:p w14:paraId="340D5BB4" w14:textId="77777777" w:rsidR="000C4C07" w:rsidRPr="000C4C07" w:rsidRDefault="000C4C07" w:rsidP="000C4C07">
      <w:pPr>
        <w:spacing w:line="240" w:lineRule="auto"/>
        <w:rPr>
          <w:b/>
          <w:bCs/>
          <w:sz w:val="28"/>
          <w:szCs w:val="28"/>
        </w:rPr>
      </w:pPr>
      <w:r w:rsidRPr="000C4C07">
        <w:rPr>
          <w:b/>
          <w:bCs/>
          <w:sz w:val="28"/>
          <w:szCs w:val="28"/>
        </w:rPr>
        <w:t xml:space="preserve">Abiturerlass – Teil 2 </w:t>
      </w:r>
    </w:p>
    <w:p w14:paraId="7F83E659" w14:textId="77777777" w:rsidR="000C4C07" w:rsidRPr="000C4C07" w:rsidRDefault="000C4C07" w:rsidP="000C4C07">
      <w:pPr>
        <w:spacing w:line="240" w:lineRule="auto"/>
        <w:rPr>
          <w:u w:val="single"/>
        </w:rPr>
      </w:pPr>
      <w:r w:rsidRPr="000C4C07">
        <w:rPr>
          <w:u w:val="single"/>
        </w:rPr>
        <w:t xml:space="preserve">hier: Fachspezifische Hinweise Q2 </w:t>
      </w:r>
    </w:p>
    <w:p w14:paraId="0228DBFF" w14:textId="77777777" w:rsidR="000C4C07" w:rsidRDefault="000C4C07" w:rsidP="000C4C07">
      <w:pPr>
        <w:spacing w:line="240" w:lineRule="auto"/>
      </w:pPr>
      <w:r>
        <w:t>Erlass vom 25. November 2022</w:t>
      </w:r>
    </w:p>
    <w:p w14:paraId="748C7C42" w14:textId="77777777" w:rsidR="000C4C07" w:rsidRDefault="000C4C07" w:rsidP="000C4C07">
      <w:pPr>
        <w:spacing w:line="240" w:lineRule="auto"/>
      </w:pPr>
      <w:r>
        <w:t>III.A.3 – 234.000.013 – 245</w:t>
      </w:r>
    </w:p>
    <w:p w14:paraId="61F0EDD0" w14:textId="41C7669D" w:rsidR="000C4C07" w:rsidRDefault="000C4C07" w:rsidP="000C4C07">
      <w:pPr>
        <w:spacing w:line="240" w:lineRule="auto"/>
      </w:pPr>
      <w:r>
        <w:t>Nach den Bestimmungen in Nr. 2 des Erlasses „Landesabitur 2023 und 2024 –</w:t>
      </w:r>
      <w:r>
        <w:t xml:space="preserve"> </w:t>
      </w:r>
      <w:r>
        <w:t xml:space="preserve">Regelungen; hier: Qualifikationsphase – Themenfelder und inhaltliche Gestaltung; Abiturerlasse Landesabitur 2024“ vom 14. Juni 2022, wird der Abiturerlass für die schriftlichen Prüfungen im Landesabitur 2024 angesichts der dynamischen Entwicklung der Pandemie in drei Etappen und für jedes Kurshalbjahr (Q1, Q2, Q3) gesondert veröffentlicht, um gegebenenfalls flexibel auf veränderte Rahmenbedingungen reagieren zu können. </w:t>
      </w:r>
    </w:p>
    <w:p w14:paraId="64981CD3" w14:textId="5E03175B" w:rsidR="000C4C07" w:rsidRDefault="000C4C07" w:rsidP="000C4C07">
      <w:pPr>
        <w:spacing w:line="240" w:lineRule="auto"/>
      </w:pPr>
      <w:r>
        <w:t>Mit diesem Erlass werden die fachspezifischen Hinweise für Q2 bekannt gegeben. Der Erlass ist nur gültig in Verbindung mit dem Erlass „Hinweise zur Vorbereitung auf die schriftlichen Abiturprüfungen im Landesabitur 2024 Abiturerlass – Teil 1 hier: Fachspezifische Hinweise Q1 (Abiturerlass – Teil 1)“ vom 20. Juni 2022 (</w:t>
      </w:r>
      <w:proofErr w:type="spellStart"/>
      <w:r>
        <w:t>ABl.</w:t>
      </w:r>
      <w:proofErr w:type="spellEnd"/>
      <w:r>
        <w:t xml:space="preserve"> S. 328). </w:t>
      </w:r>
    </w:p>
    <w:p w14:paraId="3595D23A" w14:textId="2675A382" w:rsidR="000C4C07" w:rsidRDefault="000C4C07" w:rsidP="000C4C07">
      <w:pPr>
        <w:spacing w:line="240" w:lineRule="auto"/>
      </w:pPr>
      <w:r>
        <w:t xml:space="preserve">Die sog. Leselisten für die Fächer Deutsch, Englisch, Französisch und Spanisch (Q1 bis Q3) sowie die inhaltlichen Konkretisierungen in den Themenfeldern für das Kurshalbjahr Q1 sind dem Abiturerlass – Teil 1 zu entnehmen. </w:t>
      </w:r>
    </w:p>
    <w:p w14:paraId="1119D75B" w14:textId="503DE4C9" w:rsidR="006F5DC5" w:rsidRDefault="000C4C07" w:rsidP="000C4C07">
      <w:pPr>
        <w:spacing w:line="240" w:lineRule="auto"/>
      </w:pPr>
      <w:r>
        <w:t>Die verbindlich auf der Grundlage des Kerncurriculums für die gymnasiale Oberstufe (KCGO) im Abiturerlass festgelegten Themenfelder sind in der angegebenen Reihenfolge zu bearbeiten. Diese Vorgehensweise bei der Bearbeitung der Themenfelder ist erforderlich, um an den vorangegangenen Unterricht anzuknüpfen und gleichzeitig sicherzustellen, dass alle Schülerinnen und Schüler bis zur schriftlichen Abiturprüfung den gleichen Lernstand erreichen können.</w:t>
      </w:r>
    </w:p>
    <w:p w14:paraId="05A980EA" w14:textId="6D1210CF" w:rsidR="000C4C07" w:rsidRDefault="000C4C07" w:rsidP="000C4C07">
      <w:pPr>
        <w:spacing w:line="240" w:lineRule="auto"/>
      </w:pPr>
      <w:r>
        <w:t>[…]</w:t>
      </w:r>
    </w:p>
    <w:p w14:paraId="0B6DA847" w14:textId="77777777" w:rsidR="000C4C07" w:rsidRPr="000C4C07" w:rsidRDefault="000C4C07" w:rsidP="000C4C07">
      <w:pPr>
        <w:spacing w:line="240" w:lineRule="auto"/>
        <w:rPr>
          <w:b/>
          <w:bCs/>
        </w:rPr>
      </w:pPr>
      <w:r w:rsidRPr="000C4C07">
        <w:rPr>
          <w:b/>
          <w:bCs/>
        </w:rPr>
        <w:t>15 Evangelische Religion</w:t>
      </w:r>
    </w:p>
    <w:p w14:paraId="08DD7261" w14:textId="77777777" w:rsidR="000C4C07" w:rsidRDefault="000C4C07" w:rsidP="000C4C07">
      <w:pPr>
        <w:spacing w:line="240" w:lineRule="auto"/>
      </w:pPr>
      <w:r>
        <w:t>15.4 Hinweise zum Prüfungsinhalt</w:t>
      </w:r>
    </w:p>
    <w:p w14:paraId="0BBA6021" w14:textId="30F8BBE8" w:rsidR="000C4C07" w:rsidRDefault="000C4C07" w:rsidP="000C4C07">
      <w:pPr>
        <w:spacing w:line="240" w:lineRule="auto"/>
      </w:pPr>
      <w:r>
        <w:t>Grundlage ist das KCGO für das Fach Evangelische Religion.</w:t>
      </w:r>
      <w:r>
        <w:t xml:space="preserve"> </w:t>
      </w:r>
      <w:r>
        <w:t>Auf die nachfolgend aufgeführten Themenfelder und Konkretisierungen des KCGO werden sich die Prüfungsaufgaben im grundlegenden und im erhöhten Niveau</w:t>
      </w:r>
      <w:r>
        <w:t xml:space="preserve"> </w:t>
      </w:r>
      <w:r>
        <w:t xml:space="preserve">(Grundkurs und Leistungskurs) schwerpunktmäßig beziehen. </w:t>
      </w:r>
    </w:p>
    <w:p w14:paraId="0CC62F30" w14:textId="51B80CFA" w:rsidR="000C4C07" w:rsidRDefault="000C4C07" w:rsidP="000C4C07">
      <w:pPr>
        <w:spacing w:line="240" w:lineRule="auto"/>
      </w:pPr>
      <w:r>
        <w:t>Die Themenfelder sind in der angegebenen Reihenfolge zu bearbeiten. Vor dem Hintergrund der dynamischen Entwicklung im Zusammenhang mit der Corona-Pandemie werden hier ausschließlich die inhaltlichen Konkretisierungen in den Themenfeldern für das Kurshalbjahr Q2 vorgenommen. Die inhaltlichen Konkretisierungen in den Themenfeldern für das Kurshalbjahr Q1 sind dem Abiturerlass – Teil 1 zu entnehmen.</w:t>
      </w:r>
    </w:p>
    <w:p w14:paraId="2A0D0F38" w14:textId="77777777" w:rsidR="000C4C07" w:rsidRPr="000C4C07" w:rsidRDefault="000C4C07" w:rsidP="000C4C07">
      <w:pPr>
        <w:spacing w:line="240" w:lineRule="auto"/>
        <w:rPr>
          <w:b/>
          <w:bCs/>
        </w:rPr>
      </w:pPr>
      <w:r w:rsidRPr="000C4C07">
        <w:rPr>
          <w:b/>
          <w:bCs/>
        </w:rPr>
        <w:t>Q2.1 Gottesvorstellungen in Bibel und Tradition. Wie ist Gott?</w:t>
      </w:r>
    </w:p>
    <w:p w14:paraId="520D9575" w14:textId="77777777" w:rsidR="000C4C07" w:rsidRDefault="000C4C07" w:rsidP="000C4C07">
      <w:pPr>
        <w:spacing w:line="240" w:lineRule="auto"/>
      </w:pPr>
      <w:r>
        <w:t>grundlegendes Niveau (Grundkurs und Leistungskurs)</w:t>
      </w:r>
    </w:p>
    <w:p w14:paraId="6E2B9998" w14:textId="77777777" w:rsidR="000C4C07" w:rsidRDefault="000C4C07" w:rsidP="000C4C07">
      <w:pPr>
        <w:spacing w:line="240" w:lineRule="auto"/>
      </w:pPr>
      <w:r>
        <w:t>– […]</w:t>
      </w:r>
    </w:p>
    <w:p w14:paraId="1C4F7E92" w14:textId="7193CD9C" w:rsidR="000C4C07" w:rsidRDefault="000C4C07" w:rsidP="000C4C07">
      <w:pPr>
        <w:spacing w:line="240" w:lineRule="auto"/>
      </w:pPr>
      <w:r>
        <w:t>– unterschiedliche Gottesbilder in der Bibel: JHWH, Schöpfer, Befreier, Geist […]</w:t>
      </w:r>
      <w:r>
        <w:t xml:space="preserve"> </w:t>
      </w:r>
      <w:r w:rsidRPr="000C4C07">
        <w:rPr>
          <w:i/>
          <w:iCs/>
        </w:rPr>
        <w:t>und</w:t>
      </w:r>
      <w:r>
        <w:t xml:space="preserve"> Mutter, Jesu Reden von und mit Gott</w:t>
      </w:r>
    </w:p>
    <w:p w14:paraId="09933807" w14:textId="18A33F3C" w:rsidR="000C4C07" w:rsidRDefault="000C4C07" w:rsidP="000C4C07">
      <w:pPr>
        <w:spacing w:line="240" w:lineRule="auto"/>
      </w:pPr>
      <w:r>
        <w:t>– Bilderverbot; die Unzulänglichkeit jeglicher Gottesvorstellung (Gott als Geheimnis)</w:t>
      </w:r>
      <w:r>
        <w:t xml:space="preserve"> </w:t>
      </w:r>
      <w:r w:rsidRPr="000C4C07">
        <w:rPr>
          <w:i/>
          <w:iCs/>
        </w:rPr>
        <w:t>und</w:t>
      </w:r>
      <w:r>
        <w:t xml:space="preserve"> die Frage nach einem angemessenen Reden von Gott</w:t>
      </w:r>
    </w:p>
    <w:p w14:paraId="6FD91CE3" w14:textId="77777777" w:rsidR="000C4C07" w:rsidRDefault="000C4C07" w:rsidP="000C4C07">
      <w:pPr>
        <w:spacing w:line="240" w:lineRule="auto"/>
      </w:pPr>
      <w:r>
        <w:t>– christliche Gottesvorstellung der Dreieinheit und Gottesvorstellung im Islam</w:t>
      </w:r>
    </w:p>
    <w:p w14:paraId="77362114" w14:textId="77777777" w:rsidR="000C4C07" w:rsidRDefault="000C4C07" w:rsidP="000C4C07">
      <w:pPr>
        <w:spacing w:line="240" w:lineRule="auto"/>
      </w:pPr>
      <w:r>
        <w:t>erhöhtes Niveau (Leistungskurs)</w:t>
      </w:r>
    </w:p>
    <w:p w14:paraId="7EB0D8D2" w14:textId="49BDA8E1" w:rsidR="000C4C07" w:rsidRDefault="000C4C07" w:rsidP="000C4C07">
      <w:pPr>
        <w:spacing w:line="240" w:lineRule="auto"/>
      </w:pPr>
      <w:r>
        <w:t xml:space="preserve">– […] Gottesvorstellungen im evangelischen Christentum, </w:t>
      </w:r>
      <w:r w:rsidRPr="000C4C07">
        <w:rPr>
          <w:i/>
          <w:iCs/>
        </w:rPr>
        <w:t>insbesondere</w:t>
      </w:r>
      <w:r>
        <w:t xml:space="preserve"> Martin Luther, Dorothee Sölle</w:t>
      </w:r>
    </w:p>
    <w:p w14:paraId="42ED7497" w14:textId="0C048F8A" w:rsidR="000C4C07" w:rsidRPr="000C4C07" w:rsidRDefault="000C4C07" w:rsidP="000C4C07">
      <w:pPr>
        <w:spacing w:line="240" w:lineRule="auto"/>
        <w:rPr>
          <w:b/>
          <w:bCs/>
        </w:rPr>
      </w:pPr>
      <w:r w:rsidRPr="000C4C07">
        <w:rPr>
          <w:b/>
          <w:bCs/>
        </w:rPr>
        <w:t>Q2.2 Religionskritik und Theodizee. Gibt es Gott? Wie kann ein guter Gott Leid zulassen?</w:t>
      </w:r>
    </w:p>
    <w:p w14:paraId="2A9EAC1C" w14:textId="77777777" w:rsidR="000C4C07" w:rsidRDefault="000C4C07" w:rsidP="000C4C07">
      <w:pPr>
        <w:spacing w:line="240" w:lineRule="auto"/>
      </w:pPr>
      <w:r>
        <w:t>grundlegendes Niveau (Grundkurs und Leistungskurs)</w:t>
      </w:r>
    </w:p>
    <w:p w14:paraId="0A537960" w14:textId="6B63F8BA" w:rsidR="000C4C07" w:rsidRDefault="000C4C07" w:rsidP="000C4C07">
      <w:pPr>
        <w:spacing w:line="240" w:lineRule="auto"/>
      </w:pPr>
      <w:r>
        <w:t>– „klassische“ Religionskritik und deren Deutung vor dem Hintergrund der zeitgenössischen gesellschaftlichen Situation; neben Feuerbach mindestens eine andere Position ([…] Marx […])</w:t>
      </w:r>
    </w:p>
    <w:p w14:paraId="3F641312" w14:textId="77777777" w:rsidR="000C4C07" w:rsidRDefault="000C4C07" w:rsidP="000C4C07">
      <w:pPr>
        <w:spacing w:line="240" w:lineRule="auto"/>
      </w:pPr>
      <w:r>
        <w:t>– Vergleich dieser Positionen mit einer aktuellen religionskritischen Position</w:t>
      </w:r>
    </w:p>
    <w:p w14:paraId="5489702E" w14:textId="6F7D8D5F" w:rsidR="000C4C07" w:rsidRDefault="000C4C07" w:rsidP="000C4C07">
      <w:pPr>
        <w:spacing w:line="240" w:lineRule="auto"/>
      </w:pPr>
      <w:r>
        <w:t xml:space="preserve">– theologische </w:t>
      </w:r>
      <w:r w:rsidRPr="000C4C07">
        <w:rPr>
          <w:i/>
          <w:iCs/>
        </w:rPr>
        <w:t>und</w:t>
      </w:r>
      <w:r>
        <w:t xml:space="preserve"> biblische Erklärungsversuche zur Theodizee […] vor dem Hintergrund aktueller Anlässe, persönlicher Erlebnisse oder von Beispielen aus der Geschichte (z. B. Naturkatastrophen, früher Tod durch unheilbare Krankheiten oder Unfälle): ihre Tragfähigkeit und Konsequenzen</w:t>
      </w:r>
    </w:p>
    <w:p w14:paraId="37A17AB0" w14:textId="77777777" w:rsidR="000C4C07" w:rsidRDefault="000C4C07" w:rsidP="000C4C07">
      <w:pPr>
        <w:spacing w:line="240" w:lineRule="auto"/>
      </w:pPr>
      <w:r>
        <w:t>erhöhtes Niveau (Leistungskurs)</w:t>
      </w:r>
    </w:p>
    <w:p w14:paraId="36F474DF" w14:textId="3EA566A7" w:rsidR="000C4C07" w:rsidRDefault="000C4C07" w:rsidP="000C4C07">
      <w:pPr>
        <w:spacing w:line="240" w:lineRule="auto"/>
      </w:pPr>
      <w:r>
        <w:t>– […] Untersuchung von Antworten auf die Frage nach Gott und dem Leid in den Religionen ([…] Buddhismus)</w:t>
      </w:r>
    </w:p>
    <w:p w14:paraId="5B344D33" w14:textId="77777777" w:rsidR="000C4C07" w:rsidRPr="000C4C07" w:rsidRDefault="000C4C07" w:rsidP="000C4C07">
      <w:pPr>
        <w:spacing w:line="240" w:lineRule="auto"/>
        <w:rPr>
          <w:b/>
          <w:bCs/>
        </w:rPr>
      </w:pPr>
      <w:r w:rsidRPr="000C4C07">
        <w:rPr>
          <w:b/>
          <w:bCs/>
        </w:rPr>
        <w:t>Q2.5 Gott in den Religionen. Glauben alle an den gleichen Gott?</w:t>
      </w:r>
    </w:p>
    <w:p w14:paraId="00829498" w14:textId="77777777" w:rsidR="000C4C07" w:rsidRDefault="000C4C07" w:rsidP="000C4C07">
      <w:pPr>
        <w:spacing w:line="240" w:lineRule="auto"/>
      </w:pPr>
      <w:r>
        <w:lastRenderedPageBreak/>
        <w:t>grundlegendes Niveau (Grundkurs und Leistungskurs)</w:t>
      </w:r>
    </w:p>
    <w:p w14:paraId="16B73B05" w14:textId="7EEBB046" w:rsidR="000C4C07" w:rsidRDefault="000C4C07" w:rsidP="000C4C07">
      <w:pPr>
        <w:spacing w:line="240" w:lineRule="auto"/>
      </w:pPr>
      <w:r>
        <w:t xml:space="preserve">– exemplarischer Vergleich von monotheistischen und anderen Gottesvorstellungen ([…] unterschiedliche Vorstellungen über das Leben nach dem Tod, „Erlösungsweg“ […]), </w:t>
      </w:r>
      <w:r w:rsidRPr="000C4C07">
        <w:rPr>
          <w:i/>
          <w:iCs/>
        </w:rPr>
        <w:t>insbesondere</w:t>
      </w:r>
      <w:r>
        <w:t xml:space="preserve"> Buddhismus</w:t>
      </w:r>
    </w:p>
    <w:p w14:paraId="117B47C7" w14:textId="77777777" w:rsidR="000C4C07" w:rsidRDefault="000C4C07" w:rsidP="000C4C07">
      <w:pPr>
        <w:spacing w:line="240" w:lineRule="auto"/>
      </w:pPr>
      <w:r>
        <w:t>– Vergleich der christlichen Gottesvorstellung (Trinität) mit der […] des Islams</w:t>
      </w:r>
      <w:r>
        <w:t xml:space="preserve"> </w:t>
      </w:r>
    </w:p>
    <w:p w14:paraId="40A4C585" w14:textId="0D5859D7" w:rsidR="000C4C07" w:rsidRDefault="000C4C07" w:rsidP="000C4C07">
      <w:pPr>
        <w:spacing w:line="240" w:lineRule="auto"/>
      </w:pPr>
      <w:r>
        <w:t>erhöhtes Niveau (Leistungskurs)</w:t>
      </w:r>
    </w:p>
    <w:p w14:paraId="32F1826F" w14:textId="417D5963" w:rsidR="000C4C07" w:rsidRDefault="000C4C07" w:rsidP="000C4C07">
      <w:pPr>
        <w:spacing w:line="240" w:lineRule="auto"/>
      </w:pPr>
      <w:r>
        <w:t>– Gottesbegriff im Buddhismus (Ist der Buddhismus eine Religion ohne persönlichen Gott?)</w:t>
      </w:r>
    </w:p>
    <w:p w14:paraId="691BCB5C" w14:textId="00DAF85F" w:rsidR="000C4C07" w:rsidRDefault="000C4C07" w:rsidP="000C4C07">
      <w:pPr>
        <w:spacing w:line="240" w:lineRule="auto"/>
      </w:pPr>
    </w:p>
    <w:sectPr w:rsidR="000C4C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07"/>
    <w:rsid w:val="000C4C07"/>
    <w:rsid w:val="006F5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7B31"/>
  <w15:chartTrackingRefBased/>
  <w15:docId w15:val="{2F9863D1-B330-40B1-B7D2-24D7E730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Walldorf, Jochen</dc:creator>
  <cp:keywords/>
  <dc:description/>
  <cp:lastModifiedBy>Walldorf, Jochen</cp:lastModifiedBy>
  <cp:revision>1</cp:revision>
  <dcterms:created xsi:type="dcterms:W3CDTF">2022-11-30T13:46:00Z</dcterms:created>
  <dcterms:modified xsi:type="dcterms:W3CDTF">2022-11-30T13:58:00Z</dcterms:modified>
</cp:coreProperties>
</file>